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rPr>
          <w:color w:val="auto"/>
          <w:highlight w:val="none"/>
        </w:rPr>
      </w:pPr>
    </w:p>
    <w:p>
      <w:pPr>
        <w:rPr>
          <w:color w:val="auto"/>
          <w:highlight w:val="none"/>
        </w:rPr>
      </w:pPr>
    </w:p>
    <w:p>
      <w:pPr>
        <w:widowControl/>
        <w:ind w:firstLine="0" w:firstLineChars="0"/>
        <w:jc w:val="center"/>
        <w:rPr>
          <w:rFonts w:hint="eastAsia" w:ascii="方正小标宋简体" w:hAnsi="方正小标宋简体" w:eastAsia="方正小标宋简体" w:cs="方正小标宋简体"/>
          <w:b w:val="0"/>
          <w:bCs/>
          <w:kern w:val="0"/>
          <w:sz w:val="64"/>
          <w:szCs w:val="64"/>
          <w:lang w:bidi="ar"/>
        </w:rPr>
      </w:pPr>
      <w:r>
        <w:rPr>
          <w:rFonts w:hint="eastAsia" w:ascii="方正小标宋简体" w:hAnsi="方正小标宋简体" w:eastAsia="方正小标宋简体" w:cs="方正小标宋简体"/>
          <w:b w:val="0"/>
          <w:bCs/>
          <w:kern w:val="0"/>
          <w:sz w:val="64"/>
          <w:szCs w:val="64"/>
          <w:lang w:bidi="ar"/>
        </w:rPr>
        <w:t>南昌市万亿级电子信息产业</w:t>
      </w:r>
    </w:p>
    <w:p>
      <w:pPr>
        <w:widowControl/>
        <w:ind w:firstLine="0" w:firstLineChars="0"/>
        <w:jc w:val="center"/>
        <w:rPr>
          <w:sz w:val="64"/>
          <w:szCs w:val="64"/>
          <w:lang w:val="en-US" w:eastAsia="zh-CN"/>
        </w:rPr>
      </w:pPr>
      <w:r>
        <w:rPr>
          <w:rFonts w:hint="eastAsia" w:ascii="方正小标宋简体" w:hAnsi="方正小标宋简体" w:eastAsia="方正小标宋简体" w:cs="方正小标宋简体"/>
          <w:b w:val="0"/>
          <w:bCs/>
          <w:kern w:val="0"/>
          <w:sz w:val="64"/>
          <w:szCs w:val="64"/>
          <w:lang w:bidi="ar"/>
        </w:rPr>
        <w:t>发展规划</w:t>
      </w:r>
    </w:p>
    <w:p>
      <w:pPr>
        <w:bidi w:val="0"/>
        <w:ind w:left="0" w:leftChars="0" w:firstLine="0" w:firstLineChars="0"/>
        <w:jc w:val="center"/>
        <w:rPr>
          <w:lang w:val="en-US" w:eastAsia="zh-CN"/>
        </w:rPr>
      </w:pPr>
    </w:p>
    <w:p>
      <w:pPr>
        <w:pStyle w:val="38"/>
        <w:rPr>
          <w:lang w:val="en-US" w:eastAsia="zh-CN"/>
        </w:rPr>
      </w:pPr>
    </w:p>
    <w:p>
      <w:pPr>
        <w:pStyle w:val="38"/>
        <w:rPr>
          <w:lang w:val="en-US" w:eastAsia="zh-CN"/>
        </w:rPr>
      </w:pPr>
    </w:p>
    <w:p>
      <w:pPr>
        <w:pStyle w:val="38"/>
        <w:rPr>
          <w:lang w:val="en-US" w:eastAsia="zh-CN"/>
        </w:rPr>
      </w:pPr>
    </w:p>
    <w:p>
      <w:pPr>
        <w:pStyle w:val="38"/>
        <w:rPr>
          <w:lang w:val="en-US" w:eastAsia="zh-CN"/>
        </w:rPr>
      </w:pPr>
    </w:p>
    <w:p>
      <w:pPr>
        <w:pStyle w:val="38"/>
        <w:rPr>
          <w:lang w:val="en-US" w:eastAsia="zh-CN"/>
        </w:rPr>
      </w:pPr>
    </w:p>
    <w:p>
      <w:pPr>
        <w:pStyle w:val="38"/>
        <w:rPr>
          <w:lang w:val="en-US" w:eastAsia="zh-CN"/>
        </w:rPr>
      </w:pPr>
    </w:p>
    <w:p>
      <w:pPr>
        <w:pStyle w:val="38"/>
        <w:rPr>
          <w:lang w:val="en-US" w:eastAsia="zh-CN"/>
        </w:rPr>
      </w:pPr>
    </w:p>
    <w:p>
      <w:pPr>
        <w:pStyle w:val="38"/>
        <w:rPr>
          <w:lang w:val="en-US" w:eastAsia="zh-CN"/>
        </w:rPr>
      </w:pPr>
    </w:p>
    <w:p>
      <w:pPr>
        <w:pStyle w:val="38"/>
        <w:rPr>
          <w:lang w:val="en-US" w:eastAsia="zh-CN"/>
        </w:rPr>
      </w:pPr>
    </w:p>
    <w:p>
      <w:pPr>
        <w:pStyle w:val="38"/>
        <w:rPr>
          <w:lang w:val="en-US" w:eastAsia="zh-CN"/>
        </w:rPr>
      </w:pPr>
    </w:p>
    <w:p>
      <w:pPr>
        <w:pStyle w:val="38"/>
        <w:rPr>
          <w:lang w:val="en-US" w:eastAsia="zh-CN"/>
        </w:rPr>
      </w:pPr>
    </w:p>
    <w:p>
      <w:pPr>
        <w:pStyle w:val="38"/>
        <w:rPr>
          <w:lang w:val="en-US" w:eastAsia="zh-CN"/>
        </w:rPr>
      </w:pPr>
    </w:p>
    <w:p>
      <w:pPr>
        <w:pStyle w:val="38"/>
        <w:rPr>
          <w:lang w:val="en-US" w:eastAsia="zh-CN"/>
        </w:rPr>
      </w:pPr>
    </w:p>
    <w:p>
      <w:pPr>
        <w:pStyle w:val="38"/>
        <w:rPr>
          <w:lang w:val="en-US" w:eastAsia="zh-CN"/>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eastAsia="方正楷体_GBK"/>
          <w:b/>
          <w:kern w:val="0"/>
          <w:sz w:val="36"/>
          <w:szCs w:val="36"/>
          <w:lang w:eastAsia="zh-CN" w:bidi="ar"/>
        </w:rPr>
      </w:pPr>
      <w:r>
        <w:rPr>
          <w:rFonts w:hint="eastAsia" w:eastAsia="方正楷体_GBK"/>
          <w:b/>
          <w:kern w:val="0"/>
          <w:sz w:val="36"/>
          <w:szCs w:val="36"/>
          <w:lang w:eastAsia="zh-CN" w:bidi="ar"/>
        </w:rPr>
        <w:t>南昌市工业和信息化局</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eastAsia="方正楷体_GBK"/>
          <w:b/>
          <w:kern w:val="0"/>
          <w:sz w:val="36"/>
          <w:szCs w:val="36"/>
          <w:lang w:bidi="ar"/>
        </w:rPr>
      </w:pPr>
      <w:r>
        <w:rPr>
          <w:rFonts w:hint="eastAsia" w:eastAsia="方正楷体_GBK"/>
          <w:b/>
          <w:kern w:val="0"/>
          <w:sz w:val="36"/>
          <w:szCs w:val="36"/>
          <w:lang w:bidi="ar"/>
        </w:rPr>
        <w:t>二〇二</w:t>
      </w:r>
      <w:r>
        <w:rPr>
          <w:rFonts w:hint="eastAsia" w:eastAsia="方正楷体_GBK"/>
          <w:b/>
          <w:kern w:val="0"/>
          <w:sz w:val="36"/>
          <w:szCs w:val="36"/>
          <w:lang w:eastAsia="zh-CN" w:bidi="ar"/>
        </w:rPr>
        <w:t>一</w:t>
      </w:r>
      <w:r>
        <w:rPr>
          <w:rFonts w:eastAsia="方正楷体_GBK"/>
          <w:b/>
          <w:kern w:val="0"/>
          <w:sz w:val="36"/>
          <w:szCs w:val="36"/>
          <w:lang w:bidi="ar"/>
        </w:rPr>
        <w:t>年</w:t>
      </w:r>
      <w:r>
        <w:rPr>
          <w:rFonts w:hint="eastAsia" w:eastAsia="方正楷体_GBK"/>
          <w:b/>
          <w:kern w:val="0"/>
          <w:sz w:val="36"/>
          <w:szCs w:val="36"/>
          <w:lang w:bidi="ar"/>
        </w:rPr>
        <w:t>十</w:t>
      </w:r>
      <w:r>
        <w:rPr>
          <w:rFonts w:hint="eastAsia" w:eastAsia="方正楷体_GBK"/>
          <w:b/>
          <w:kern w:val="0"/>
          <w:sz w:val="36"/>
          <w:szCs w:val="36"/>
          <w:lang w:eastAsia="zh-CN" w:bidi="ar"/>
        </w:rPr>
        <w:t>二</w:t>
      </w:r>
      <w:r>
        <w:rPr>
          <w:rFonts w:hint="eastAsia" w:eastAsia="方正楷体_GBK"/>
          <w:b/>
          <w:kern w:val="0"/>
          <w:sz w:val="36"/>
          <w:szCs w:val="36"/>
          <w:lang w:bidi="ar"/>
        </w:rPr>
        <w:t>月</w:t>
      </w:r>
    </w:p>
    <w:p>
      <w:pPr>
        <w:pStyle w:val="2"/>
        <w:keepNext w:val="0"/>
        <w:keepLines w:val="0"/>
        <w:pageBreakBefore/>
        <w:widowControl w:val="0"/>
        <w:kinsoku/>
        <w:wordWrap/>
        <w:overflowPunct/>
        <w:topLinePunct w:val="0"/>
        <w:autoSpaceDE w:val="0"/>
        <w:autoSpaceDN w:val="0"/>
        <w:bidi w:val="0"/>
        <w:adjustRightInd/>
        <w:snapToGrid/>
        <w:textAlignment w:val="auto"/>
      </w:pPr>
    </w:p>
    <w:p>
      <w:pPr>
        <w:pStyle w:val="38"/>
        <w:rPr>
          <w:lang w:val="en-US" w:eastAsia="zh-CN"/>
        </w:rPr>
      </w:pPr>
    </w:p>
    <w:p>
      <w:pPr>
        <w:pStyle w:val="38"/>
        <w:rPr>
          <w:lang w:val="en-US" w:eastAsia="zh-CN"/>
        </w:rPr>
      </w:pPr>
    </w:p>
    <w:p>
      <w:pPr>
        <w:pStyle w:val="38"/>
        <w:rPr>
          <w:lang w:val="en-US" w:eastAsia="zh-CN"/>
        </w:rPr>
      </w:pPr>
    </w:p>
    <w:p>
      <w:pPr>
        <w:pStyle w:val="4"/>
        <w:keepNext w:val="0"/>
        <w:keepLines w:val="0"/>
        <w:widowControl/>
        <w:spacing w:line="600" w:lineRule="exact"/>
        <w:ind w:firstLine="0" w:firstLineChars="0"/>
        <w:jc w:val="center"/>
        <w:rPr>
          <w:rFonts w:hint="eastAsia" w:ascii="方正小标宋简体" w:hAnsi="方正小标宋简体" w:eastAsia="方正小标宋简体" w:cs="方正小标宋简体"/>
          <w:b w:val="0"/>
          <w:bCs/>
          <w:color w:val="auto"/>
          <w:sz w:val="44"/>
          <w:szCs w:val="44"/>
          <w:highlight w:val="none"/>
        </w:rPr>
        <w:sectPr>
          <w:footerReference r:id="rId8" w:type="first"/>
          <w:footerReference r:id="rId6" w:type="default"/>
          <w:headerReference r:id="rId5" w:type="even"/>
          <w:footerReference r:id="rId7" w:type="even"/>
          <w:pgSz w:w="11850" w:h="16783"/>
          <w:pgMar w:top="1701" w:right="1701" w:bottom="1701" w:left="1701" w:header="851" w:footer="992" w:gutter="0"/>
          <w:pgBorders>
            <w:top w:val="none" w:sz="0" w:space="0"/>
            <w:left w:val="none" w:sz="0" w:space="0"/>
            <w:bottom w:val="none" w:sz="0" w:space="0"/>
            <w:right w:val="none" w:sz="0" w:space="0"/>
          </w:pgBorders>
          <w:pgNumType w:fmt="decimal" w:start="1"/>
          <w:cols w:space="0" w:num="1"/>
          <w:rtlGutter w:val="0"/>
          <w:docGrid w:type="linesAndChars" w:linePitch="312" w:charSpace="0"/>
        </w:sectPr>
      </w:pPr>
      <w:bookmarkStart w:id="0" w:name="_Toc20364"/>
      <w:bookmarkStart w:id="1" w:name="_Toc13670"/>
      <w:bookmarkStart w:id="2" w:name="_Toc21526"/>
      <w:bookmarkStart w:id="3" w:name="_Toc88257114"/>
      <w:bookmarkStart w:id="4" w:name="_Toc897673366"/>
    </w:p>
    <w:p>
      <w:pPr>
        <w:pStyle w:val="4"/>
        <w:keepNext w:val="0"/>
        <w:keepLines w:val="0"/>
        <w:pageBreakBefore/>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前  言</w:t>
      </w:r>
      <w:bookmarkEnd w:id="0"/>
      <w:bookmarkEnd w:id="1"/>
      <w:bookmarkEnd w:id="2"/>
      <w:bookmarkEnd w:id="3"/>
      <w:bookmarkEnd w:id="4"/>
    </w:p>
    <w:p>
      <w:pPr>
        <w:rPr>
          <w:color w:val="auto"/>
          <w:highlight w:val="none"/>
        </w:rPr>
      </w:pPr>
      <w:r>
        <w:rPr>
          <w:color w:val="auto"/>
          <w:highlight w:val="none"/>
        </w:rPr>
        <w:t>电子信息产业是全球创新最活跃、研发投入最集中、应用最广泛、辐射带动作用最大的高技术领域，具有技术密集度高、成长潜力大、经济效益好的特点，富有广阔的增长空间和发展动力。十九届五中全会提出“十四五”期间“加快构建现代产业体系”的明确方向，指出要“推进产业基础高级化、产业链现代化”。电子信息产业作为现代产业体系中支柱性产业，具有强劲的增长动能，对于推动经济社会高质量发展具有重要意义，也是构建国内大循环、国际国内双循环的新发展格局的重要阵地。</w:t>
      </w:r>
    </w:p>
    <w:p>
      <w:pPr>
        <w:rPr>
          <w:color w:val="auto"/>
          <w:highlight w:val="none"/>
        </w:rPr>
      </w:pPr>
      <w:r>
        <w:rPr>
          <w:color w:val="auto"/>
          <w:highlight w:val="none"/>
        </w:rPr>
        <w:t>近年来，受益于京九高铁全线贯通、国家内陆开放型经济试验区建设启动，江西省全方位开放加速，京九（江西）电子信息产业带发展成效初步显现。南昌市高度重视电子信息产业发展，“十三五”期间超高速发展实现了规模跃升，奠定了“十四五”期间产业高质量发展的坚实基础。我市提出至20</w:t>
      </w:r>
      <w:r>
        <w:rPr>
          <w:rFonts w:hint="eastAsia"/>
          <w:color w:val="auto"/>
          <w:highlight w:val="none"/>
          <w:lang w:val="en-US" w:eastAsia="zh-CN"/>
        </w:rPr>
        <w:t>30</w:t>
      </w:r>
      <w:r>
        <w:rPr>
          <w:color w:val="auto"/>
          <w:highlight w:val="none"/>
        </w:rPr>
        <w:t>年建成具有全球影响力的万亿级电子信息产业集群，既考虑到信息技术创新持续演进和数字经济快速发展的大趋势，又考虑到南昌市电子信息产业赶超发展的大机遇，同时考虑为南昌市传统行业高质量发展增添有力抓手的大格局，通过打造万亿级规模产业助力构建全市经济高质量发展。“十四五”期间，我市延续电子信息产业转移发展路径，通过市场化创新、生态化产业链、杠杆化金融、落地化人才、定制化政策，推进产业链、创新链、资金链三链结合，努力打造“</w:t>
      </w:r>
      <w:r>
        <w:rPr>
          <w:rFonts w:hint="eastAsia"/>
          <w:color w:val="auto"/>
          <w:highlight w:val="none"/>
          <w:lang w:val="en-US" w:eastAsia="zh-CN"/>
        </w:rPr>
        <w:t>4</w:t>
      </w:r>
      <w:r>
        <w:rPr>
          <w:color w:val="auto"/>
          <w:highlight w:val="none"/>
        </w:rPr>
        <w:t>+N”</w:t>
      </w:r>
      <w:r>
        <w:rPr>
          <w:rFonts w:hint="eastAsia"/>
          <w:color w:val="auto"/>
          <w:highlight w:val="none"/>
          <w:lang w:eastAsia="zh-CN"/>
        </w:rPr>
        <w:t>电子信息</w:t>
      </w:r>
      <w:r>
        <w:rPr>
          <w:color w:val="auto"/>
          <w:highlight w:val="none"/>
        </w:rPr>
        <w:t>产业体系，助力南昌市实现“工业强市”战略目标。</w:t>
      </w:r>
    </w:p>
    <w:p>
      <w:pPr>
        <w:widowControl/>
        <w:rPr>
          <w:color w:val="auto"/>
          <w:highlight w:val="none"/>
        </w:rPr>
      </w:pPr>
      <w:r>
        <w:rPr>
          <w:color w:val="auto"/>
          <w:highlight w:val="none"/>
        </w:rPr>
        <w:t>本规划依据江西省《京九（江西）电子信息产业带发展规划》《江西省“2+6+N”产业高质量跨越式发展行动计划（2019-2023年左右）》《江西省“十四五”电子信息产业高质量发展规划》以及</w:t>
      </w:r>
      <w:r>
        <w:rPr>
          <w:rFonts w:hint="default" w:ascii="Times New Roman" w:hAnsi="Times New Roman" w:eastAsia="仿宋_GB2312" w:cs="Times New Roman"/>
          <w:i w:val="0"/>
          <w:caps w:val="0"/>
          <w:color w:val="000000"/>
          <w:spacing w:val="0"/>
          <w:kern w:val="2"/>
          <w:sz w:val="32"/>
          <w:szCs w:val="32"/>
          <w:highlight w:val="none"/>
          <w:shd w:val="clear" w:fill="auto"/>
          <w:lang w:val="en-US" w:eastAsia="zh-CN" w:bidi="ar"/>
        </w:rPr>
        <w:t>《南昌市国民经济和社会发展第十四个五年规划和二Ο三五年远景目标纲要》</w:t>
      </w:r>
      <w:r>
        <w:rPr>
          <w:color w:val="auto"/>
          <w:highlight w:val="none"/>
        </w:rPr>
        <w:t>《南昌市电子信息产业高质量跨越式发展行动方案》重要文件编制。规划期为202</w:t>
      </w:r>
      <w:r>
        <w:rPr>
          <w:rFonts w:hint="eastAsia"/>
          <w:color w:val="auto"/>
          <w:highlight w:val="none"/>
          <w:lang w:val="en-US" w:eastAsia="zh-CN"/>
        </w:rPr>
        <w:t>2</w:t>
      </w:r>
      <w:r>
        <w:rPr>
          <w:color w:val="auto"/>
          <w:highlight w:val="none"/>
        </w:rPr>
        <w:t>-20</w:t>
      </w:r>
      <w:r>
        <w:rPr>
          <w:rFonts w:hint="eastAsia"/>
          <w:color w:val="auto"/>
          <w:highlight w:val="none"/>
          <w:lang w:val="en-US" w:eastAsia="zh-CN"/>
        </w:rPr>
        <w:t>30</w:t>
      </w:r>
      <w:r>
        <w:rPr>
          <w:color w:val="auto"/>
          <w:highlight w:val="none"/>
        </w:rPr>
        <w:t>年。</w:t>
      </w:r>
    </w:p>
    <w:p>
      <w:pPr>
        <w:rPr>
          <w:color w:val="auto"/>
          <w:highlight w:val="none"/>
        </w:rPr>
        <w:sectPr>
          <w:footerReference r:id="rId9" w:type="default"/>
          <w:pgSz w:w="11850" w:h="16783"/>
          <w:pgMar w:top="1701" w:right="1701" w:bottom="1701" w:left="1701" w:header="851" w:footer="992" w:gutter="0"/>
          <w:pgBorders>
            <w:top w:val="none" w:sz="0" w:space="0"/>
            <w:left w:val="none" w:sz="0" w:space="0"/>
            <w:bottom w:val="none" w:sz="0" w:space="0"/>
            <w:right w:val="none" w:sz="0" w:space="0"/>
          </w:pgBorders>
          <w:pgNumType w:fmt="decimal" w:start="1"/>
          <w:cols w:space="0" w:num="1"/>
          <w:rtlGutter w:val="0"/>
          <w:docGrid w:type="linesAndChars" w:linePitch="312" w:charSpace="0"/>
        </w:sectPr>
      </w:pPr>
    </w:p>
    <w:p>
      <w:pPr>
        <w:spacing w:line="240" w:lineRule="auto"/>
        <w:ind w:firstLine="0" w:firstLineChars="0"/>
        <w:jc w:val="center"/>
        <w:rPr>
          <w:rFonts w:hint="eastAsia" w:ascii="方正小标宋简体" w:hAnsi="方正小标宋简体" w:eastAsia="方正小标宋简体" w:cs="方正小标宋简体"/>
          <w:b w:val="0"/>
          <w:bCs w:val="0"/>
          <w:i w:val="0"/>
          <w:iCs w:val="0"/>
          <w:color w:val="auto"/>
          <w:sz w:val="44"/>
          <w:szCs w:val="44"/>
          <w:highlight w:val="none"/>
        </w:rPr>
      </w:pPr>
      <w:r>
        <w:rPr>
          <w:rFonts w:hint="eastAsia" w:ascii="方正小标宋简体" w:hAnsi="方正小标宋简体" w:eastAsia="方正小标宋简体" w:cs="方正小标宋简体"/>
          <w:b w:val="0"/>
          <w:bCs w:val="0"/>
          <w:i w:val="0"/>
          <w:iCs w:val="0"/>
          <w:color w:val="auto"/>
          <w:sz w:val="44"/>
          <w:szCs w:val="44"/>
          <w:highlight w:val="none"/>
        </w:rPr>
        <w:t xml:space="preserve">目  </w:t>
      </w:r>
      <w:r>
        <w:rPr>
          <w:rFonts w:hint="eastAsia" w:ascii="方正小标宋简体" w:hAnsi="方正小标宋简体" w:eastAsia="方正小标宋简体" w:cs="方正小标宋简体"/>
          <w:b w:val="0"/>
          <w:bCs w:val="0"/>
          <w:i w:val="0"/>
          <w:iCs w:val="0"/>
          <w:color w:val="auto"/>
          <w:sz w:val="44"/>
          <w:szCs w:val="44"/>
          <w:highlight w:val="none"/>
          <w:lang w:val="en-US" w:eastAsia="zh-CN"/>
        </w:rPr>
        <w:t xml:space="preserve"> </w:t>
      </w:r>
      <w:r>
        <w:rPr>
          <w:rFonts w:hint="eastAsia" w:ascii="方正小标宋简体" w:hAnsi="方正小标宋简体" w:eastAsia="方正小标宋简体" w:cs="方正小标宋简体"/>
          <w:b w:val="0"/>
          <w:bCs w:val="0"/>
          <w:i w:val="0"/>
          <w:iCs w:val="0"/>
          <w:color w:val="auto"/>
          <w:sz w:val="44"/>
          <w:szCs w:val="44"/>
          <w:highlight w:val="none"/>
        </w:rPr>
        <w:t>录</w:t>
      </w:r>
    </w:p>
    <w:p>
      <w:pPr>
        <w:pStyle w:val="18"/>
        <w:keepNext w:val="0"/>
        <w:keepLines w:val="0"/>
        <w:pageBreakBefore w:val="0"/>
        <w:widowControl w:val="0"/>
        <w:tabs>
          <w:tab w:val="right" w:leader="dot" w:pos="8448"/>
        </w:tabs>
        <w:kinsoku/>
        <w:wordWrap/>
        <w:overflowPunct/>
        <w:topLinePunct w:val="0"/>
        <w:autoSpaceDE/>
        <w:autoSpaceDN/>
        <w:bidi w:val="0"/>
        <w:adjustRightInd/>
        <w:snapToGrid/>
        <w:spacing w:before="0" w:after="0" w:line="312" w:lineRule="auto"/>
        <w:textAlignment w:val="auto"/>
        <w:rPr>
          <w:i w:val="0"/>
          <w:iCs w:val="0"/>
          <w:sz w:val="24"/>
          <w:szCs w:val="24"/>
        </w:rPr>
      </w:pPr>
      <w:r>
        <w:rPr>
          <w:rFonts w:ascii="Times New Roman" w:eastAsia="宋体"/>
          <w:b w:val="0"/>
          <w:bCs w:val="0"/>
          <w:i w:val="0"/>
          <w:iCs w:val="0"/>
          <w:color w:val="auto"/>
          <w:kern w:val="0"/>
          <w:sz w:val="24"/>
          <w:szCs w:val="24"/>
          <w:highlight w:val="none"/>
        </w:rPr>
        <w:fldChar w:fldCharType="begin"/>
      </w:r>
      <w:r>
        <w:rPr>
          <w:rFonts w:ascii="Times New Roman"/>
          <w:b w:val="0"/>
          <w:bCs w:val="0"/>
          <w:i w:val="0"/>
          <w:iCs w:val="0"/>
          <w:color w:val="auto"/>
          <w:sz w:val="24"/>
          <w:szCs w:val="24"/>
          <w:highlight w:val="none"/>
        </w:rPr>
        <w:instrText xml:space="preserve">TOC \o "1-3" \h \u </w:instrText>
      </w:r>
      <w:r>
        <w:rPr>
          <w:rFonts w:ascii="Times New Roman" w:eastAsia="宋体"/>
          <w:b w:val="0"/>
          <w:bCs w:val="0"/>
          <w:i w:val="0"/>
          <w:iCs w:val="0"/>
          <w:color w:val="auto"/>
          <w:kern w:val="0"/>
          <w:sz w:val="24"/>
          <w:szCs w:val="24"/>
          <w:highlight w:val="none"/>
        </w:rPr>
        <w:fldChar w:fldCharType="separate"/>
      </w:r>
      <w:r>
        <w:rPr>
          <w:bCs w:val="0"/>
          <w:i w:val="0"/>
          <w:iCs w:val="0"/>
          <w:color w:val="auto"/>
          <w:sz w:val="24"/>
          <w:szCs w:val="24"/>
          <w:highlight w:val="none"/>
        </w:rPr>
        <w:fldChar w:fldCharType="begin"/>
      </w:r>
      <w:r>
        <w:rPr>
          <w:bCs w:val="0"/>
          <w:i w:val="0"/>
          <w:iCs w:val="0"/>
          <w:sz w:val="24"/>
          <w:szCs w:val="24"/>
          <w:highlight w:val="none"/>
        </w:rPr>
        <w:instrText xml:space="preserve"> HYPERLINK \l _Toc883067345 </w:instrText>
      </w:r>
      <w:r>
        <w:rPr>
          <w:bCs w:val="0"/>
          <w:i w:val="0"/>
          <w:iCs w:val="0"/>
          <w:sz w:val="24"/>
          <w:szCs w:val="24"/>
          <w:highlight w:val="none"/>
        </w:rPr>
        <w:fldChar w:fldCharType="separate"/>
      </w:r>
      <w:r>
        <w:rPr>
          <w:rFonts w:eastAsia="黑体"/>
          <w:bCs/>
          <w:i w:val="0"/>
          <w:iCs w:val="0"/>
          <w:kern w:val="44"/>
          <w:sz w:val="24"/>
          <w:szCs w:val="24"/>
          <w:highlight w:val="none"/>
        </w:rPr>
        <w:t>一、“十三五”发展成效和经验总结</w:t>
      </w:r>
      <w:r>
        <w:rPr>
          <w:i w:val="0"/>
          <w:iCs w:val="0"/>
          <w:sz w:val="24"/>
          <w:szCs w:val="24"/>
        </w:rPr>
        <w:tab/>
      </w:r>
      <w:r>
        <w:rPr>
          <w:i w:val="0"/>
          <w:iCs w:val="0"/>
          <w:sz w:val="24"/>
          <w:szCs w:val="24"/>
        </w:rPr>
        <w:fldChar w:fldCharType="begin"/>
      </w:r>
      <w:r>
        <w:rPr>
          <w:i w:val="0"/>
          <w:iCs w:val="0"/>
          <w:sz w:val="24"/>
          <w:szCs w:val="24"/>
        </w:rPr>
        <w:instrText xml:space="preserve"> PAGEREF _Toc883067345 </w:instrText>
      </w:r>
      <w:r>
        <w:rPr>
          <w:i w:val="0"/>
          <w:iCs w:val="0"/>
          <w:sz w:val="24"/>
          <w:szCs w:val="24"/>
        </w:rPr>
        <w:fldChar w:fldCharType="separate"/>
      </w:r>
      <w:r>
        <w:rPr>
          <w:i w:val="0"/>
          <w:iCs w:val="0"/>
          <w:sz w:val="24"/>
          <w:szCs w:val="24"/>
        </w:rPr>
        <w:t>1</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_Toc1236437646 </w:instrText>
      </w:r>
      <w:r>
        <w:rPr>
          <w:bCs w:val="0"/>
          <w:i w:val="0"/>
          <w:iCs w:val="0"/>
          <w:sz w:val="24"/>
          <w:szCs w:val="24"/>
          <w:highlight w:val="none"/>
        </w:rPr>
        <w:fldChar w:fldCharType="separate"/>
      </w:r>
      <w:r>
        <w:rPr>
          <w:rFonts w:eastAsia="楷体_GB2312"/>
          <w:bCs/>
          <w:i w:val="0"/>
          <w:iCs w:val="0"/>
          <w:kern w:val="28"/>
          <w:sz w:val="24"/>
          <w:szCs w:val="24"/>
          <w:highlight w:val="none"/>
        </w:rPr>
        <w:t>（一）发展成效</w:t>
      </w:r>
      <w:r>
        <w:rPr>
          <w:i w:val="0"/>
          <w:iCs w:val="0"/>
          <w:sz w:val="24"/>
          <w:szCs w:val="24"/>
        </w:rPr>
        <w:tab/>
      </w:r>
      <w:r>
        <w:rPr>
          <w:i w:val="0"/>
          <w:iCs w:val="0"/>
          <w:sz w:val="24"/>
          <w:szCs w:val="24"/>
        </w:rPr>
        <w:fldChar w:fldCharType="begin"/>
      </w:r>
      <w:r>
        <w:rPr>
          <w:i w:val="0"/>
          <w:iCs w:val="0"/>
          <w:sz w:val="24"/>
          <w:szCs w:val="24"/>
        </w:rPr>
        <w:instrText xml:space="preserve"> PAGEREF _Toc1236437646 </w:instrText>
      </w:r>
      <w:r>
        <w:rPr>
          <w:i w:val="0"/>
          <w:iCs w:val="0"/>
          <w:sz w:val="24"/>
          <w:szCs w:val="24"/>
        </w:rPr>
        <w:fldChar w:fldCharType="separate"/>
      </w:r>
      <w:r>
        <w:rPr>
          <w:i w:val="0"/>
          <w:iCs w:val="0"/>
          <w:sz w:val="24"/>
          <w:szCs w:val="24"/>
        </w:rPr>
        <w:t>1</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_Toc535757662 </w:instrText>
      </w:r>
      <w:r>
        <w:rPr>
          <w:bCs w:val="0"/>
          <w:i w:val="0"/>
          <w:iCs w:val="0"/>
          <w:sz w:val="24"/>
          <w:szCs w:val="24"/>
          <w:highlight w:val="none"/>
        </w:rPr>
        <w:fldChar w:fldCharType="separate"/>
      </w:r>
      <w:r>
        <w:rPr>
          <w:bCs/>
          <w:i w:val="0"/>
          <w:iCs w:val="0"/>
          <w:sz w:val="24"/>
          <w:szCs w:val="24"/>
          <w:highlight w:val="none"/>
        </w:rPr>
        <w:t>1、产业规模跃升式壮大</w:t>
      </w:r>
      <w:r>
        <w:rPr>
          <w:i w:val="0"/>
          <w:iCs w:val="0"/>
          <w:sz w:val="24"/>
          <w:szCs w:val="24"/>
        </w:rPr>
        <w:tab/>
      </w:r>
      <w:r>
        <w:rPr>
          <w:i w:val="0"/>
          <w:iCs w:val="0"/>
          <w:sz w:val="24"/>
          <w:szCs w:val="24"/>
        </w:rPr>
        <w:fldChar w:fldCharType="begin"/>
      </w:r>
      <w:r>
        <w:rPr>
          <w:i w:val="0"/>
          <w:iCs w:val="0"/>
          <w:sz w:val="24"/>
          <w:szCs w:val="24"/>
        </w:rPr>
        <w:instrText xml:space="preserve"> PAGEREF _Toc535757662 </w:instrText>
      </w:r>
      <w:r>
        <w:rPr>
          <w:i w:val="0"/>
          <w:iCs w:val="0"/>
          <w:sz w:val="24"/>
          <w:szCs w:val="24"/>
        </w:rPr>
        <w:fldChar w:fldCharType="separate"/>
      </w:r>
      <w:r>
        <w:rPr>
          <w:i w:val="0"/>
          <w:iCs w:val="0"/>
          <w:sz w:val="24"/>
          <w:szCs w:val="24"/>
        </w:rPr>
        <w:t>1</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_Toc931855240 </w:instrText>
      </w:r>
      <w:r>
        <w:rPr>
          <w:bCs w:val="0"/>
          <w:i w:val="0"/>
          <w:iCs w:val="0"/>
          <w:sz w:val="24"/>
          <w:szCs w:val="24"/>
          <w:highlight w:val="none"/>
        </w:rPr>
        <w:fldChar w:fldCharType="separate"/>
      </w:r>
      <w:r>
        <w:rPr>
          <w:bCs/>
          <w:i w:val="0"/>
          <w:iCs w:val="0"/>
          <w:sz w:val="24"/>
          <w:szCs w:val="24"/>
          <w:highlight w:val="none"/>
        </w:rPr>
        <w:t>2、链条式集聚效果明显</w:t>
      </w:r>
      <w:r>
        <w:rPr>
          <w:i w:val="0"/>
          <w:iCs w:val="0"/>
          <w:sz w:val="24"/>
          <w:szCs w:val="24"/>
        </w:rPr>
        <w:tab/>
      </w:r>
      <w:r>
        <w:rPr>
          <w:i w:val="0"/>
          <w:iCs w:val="0"/>
          <w:sz w:val="24"/>
          <w:szCs w:val="24"/>
        </w:rPr>
        <w:fldChar w:fldCharType="begin"/>
      </w:r>
      <w:r>
        <w:rPr>
          <w:i w:val="0"/>
          <w:iCs w:val="0"/>
          <w:sz w:val="24"/>
          <w:szCs w:val="24"/>
        </w:rPr>
        <w:instrText xml:space="preserve"> PAGEREF _Toc931855240 </w:instrText>
      </w:r>
      <w:r>
        <w:rPr>
          <w:i w:val="0"/>
          <w:iCs w:val="0"/>
          <w:sz w:val="24"/>
          <w:szCs w:val="24"/>
        </w:rPr>
        <w:fldChar w:fldCharType="separate"/>
      </w:r>
      <w:r>
        <w:rPr>
          <w:i w:val="0"/>
          <w:iCs w:val="0"/>
          <w:sz w:val="24"/>
          <w:szCs w:val="24"/>
        </w:rPr>
        <w:t>1</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_Toc1474240891 </w:instrText>
      </w:r>
      <w:r>
        <w:rPr>
          <w:bCs w:val="0"/>
          <w:i w:val="0"/>
          <w:iCs w:val="0"/>
          <w:sz w:val="24"/>
          <w:szCs w:val="24"/>
          <w:highlight w:val="none"/>
        </w:rPr>
        <w:fldChar w:fldCharType="separate"/>
      </w:r>
      <w:r>
        <w:rPr>
          <w:bCs/>
          <w:i w:val="0"/>
          <w:iCs w:val="0"/>
          <w:sz w:val="24"/>
          <w:szCs w:val="24"/>
          <w:highlight w:val="none"/>
        </w:rPr>
        <w:t>3、差异化空间布局初步成型</w:t>
      </w:r>
      <w:r>
        <w:rPr>
          <w:i w:val="0"/>
          <w:iCs w:val="0"/>
          <w:sz w:val="24"/>
          <w:szCs w:val="24"/>
        </w:rPr>
        <w:tab/>
      </w:r>
      <w:r>
        <w:rPr>
          <w:i w:val="0"/>
          <w:iCs w:val="0"/>
          <w:sz w:val="24"/>
          <w:szCs w:val="24"/>
        </w:rPr>
        <w:fldChar w:fldCharType="begin"/>
      </w:r>
      <w:r>
        <w:rPr>
          <w:i w:val="0"/>
          <w:iCs w:val="0"/>
          <w:sz w:val="24"/>
          <w:szCs w:val="24"/>
        </w:rPr>
        <w:instrText xml:space="preserve"> PAGEREF _Toc1474240891 </w:instrText>
      </w:r>
      <w:r>
        <w:rPr>
          <w:i w:val="0"/>
          <w:iCs w:val="0"/>
          <w:sz w:val="24"/>
          <w:szCs w:val="24"/>
        </w:rPr>
        <w:fldChar w:fldCharType="separate"/>
      </w:r>
      <w:r>
        <w:rPr>
          <w:i w:val="0"/>
          <w:iCs w:val="0"/>
          <w:sz w:val="24"/>
          <w:szCs w:val="24"/>
        </w:rPr>
        <w:t>2</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_Toc1267640565 </w:instrText>
      </w:r>
      <w:r>
        <w:rPr>
          <w:bCs w:val="0"/>
          <w:i w:val="0"/>
          <w:iCs w:val="0"/>
          <w:sz w:val="24"/>
          <w:szCs w:val="24"/>
          <w:highlight w:val="none"/>
        </w:rPr>
        <w:fldChar w:fldCharType="separate"/>
      </w:r>
      <w:r>
        <w:rPr>
          <w:bCs/>
          <w:i w:val="0"/>
          <w:iCs w:val="0"/>
          <w:sz w:val="24"/>
          <w:szCs w:val="24"/>
          <w:highlight w:val="none"/>
        </w:rPr>
        <w:t>4、未来前瞻产业布局抢位</w:t>
      </w:r>
      <w:r>
        <w:rPr>
          <w:i w:val="0"/>
          <w:iCs w:val="0"/>
          <w:sz w:val="24"/>
          <w:szCs w:val="24"/>
        </w:rPr>
        <w:tab/>
      </w:r>
      <w:r>
        <w:rPr>
          <w:i w:val="0"/>
          <w:iCs w:val="0"/>
          <w:sz w:val="24"/>
          <w:szCs w:val="24"/>
        </w:rPr>
        <w:fldChar w:fldCharType="begin"/>
      </w:r>
      <w:r>
        <w:rPr>
          <w:i w:val="0"/>
          <w:iCs w:val="0"/>
          <w:sz w:val="24"/>
          <w:szCs w:val="24"/>
        </w:rPr>
        <w:instrText xml:space="preserve"> PAGEREF _Toc1267640565 </w:instrText>
      </w:r>
      <w:r>
        <w:rPr>
          <w:i w:val="0"/>
          <w:iCs w:val="0"/>
          <w:sz w:val="24"/>
          <w:szCs w:val="24"/>
        </w:rPr>
        <w:fldChar w:fldCharType="separate"/>
      </w:r>
      <w:r>
        <w:rPr>
          <w:i w:val="0"/>
          <w:iCs w:val="0"/>
          <w:sz w:val="24"/>
          <w:szCs w:val="24"/>
        </w:rPr>
        <w:t>2</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_Toc982551405 </w:instrText>
      </w:r>
      <w:r>
        <w:rPr>
          <w:bCs w:val="0"/>
          <w:i w:val="0"/>
          <w:iCs w:val="0"/>
          <w:sz w:val="24"/>
          <w:szCs w:val="24"/>
          <w:highlight w:val="none"/>
        </w:rPr>
        <w:fldChar w:fldCharType="separate"/>
      </w:r>
      <w:r>
        <w:rPr>
          <w:rFonts w:eastAsia="楷体_GB2312"/>
          <w:bCs/>
          <w:i w:val="0"/>
          <w:iCs w:val="0"/>
          <w:kern w:val="28"/>
          <w:sz w:val="24"/>
          <w:szCs w:val="24"/>
          <w:highlight w:val="none"/>
        </w:rPr>
        <w:t>（二）经验总结</w:t>
      </w:r>
      <w:r>
        <w:rPr>
          <w:i w:val="0"/>
          <w:iCs w:val="0"/>
          <w:sz w:val="24"/>
          <w:szCs w:val="24"/>
        </w:rPr>
        <w:tab/>
      </w:r>
      <w:r>
        <w:rPr>
          <w:i w:val="0"/>
          <w:iCs w:val="0"/>
          <w:sz w:val="24"/>
          <w:szCs w:val="24"/>
        </w:rPr>
        <w:fldChar w:fldCharType="begin"/>
      </w:r>
      <w:r>
        <w:rPr>
          <w:i w:val="0"/>
          <w:iCs w:val="0"/>
          <w:sz w:val="24"/>
          <w:szCs w:val="24"/>
        </w:rPr>
        <w:instrText xml:space="preserve"> PAGEREF _Toc982551405 </w:instrText>
      </w:r>
      <w:r>
        <w:rPr>
          <w:i w:val="0"/>
          <w:iCs w:val="0"/>
          <w:sz w:val="24"/>
          <w:szCs w:val="24"/>
        </w:rPr>
        <w:fldChar w:fldCharType="separate"/>
      </w:r>
      <w:r>
        <w:rPr>
          <w:i w:val="0"/>
          <w:iCs w:val="0"/>
          <w:sz w:val="24"/>
          <w:szCs w:val="24"/>
        </w:rPr>
        <w:t>3</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_Toc77987515 </w:instrText>
      </w:r>
      <w:r>
        <w:rPr>
          <w:bCs w:val="0"/>
          <w:i w:val="0"/>
          <w:iCs w:val="0"/>
          <w:sz w:val="24"/>
          <w:szCs w:val="24"/>
          <w:highlight w:val="none"/>
        </w:rPr>
        <w:fldChar w:fldCharType="separate"/>
      </w:r>
      <w:r>
        <w:rPr>
          <w:bCs/>
          <w:i w:val="0"/>
          <w:iCs w:val="0"/>
          <w:sz w:val="24"/>
          <w:szCs w:val="24"/>
          <w:highlight w:val="none"/>
        </w:rPr>
        <w:t>1、深化</w:t>
      </w:r>
      <w:r>
        <w:rPr>
          <w:rFonts w:eastAsia="黑体"/>
          <w:bCs/>
          <w:i w:val="0"/>
          <w:iCs w:val="0"/>
          <w:kern w:val="44"/>
          <w:sz w:val="24"/>
          <w:szCs w:val="24"/>
          <w:highlight w:val="none"/>
        </w:rPr>
        <w:t>“</w:t>
      </w:r>
      <w:r>
        <w:rPr>
          <w:bCs/>
          <w:i w:val="0"/>
          <w:iCs w:val="0"/>
          <w:sz w:val="24"/>
          <w:szCs w:val="24"/>
          <w:highlight w:val="none"/>
        </w:rPr>
        <w:t>轻资产、重资本</w:t>
      </w:r>
      <w:r>
        <w:rPr>
          <w:rFonts w:eastAsia="黑体"/>
          <w:bCs/>
          <w:i w:val="0"/>
          <w:iCs w:val="0"/>
          <w:kern w:val="44"/>
          <w:sz w:val="24"/>
          <w:szCs w:val="24"/>
          <w:highlight w:val="none"/>
        </w:rPr>
        <w:t>”</w:t>
      </w:r>
      <w:r>
        <w:rPr>
          <w:bCs/>
          <w:i w:val="0"/>
          <w:iCs w:val="0"/>
          <w:sz w:val="24"/>
          <w:szCs w:val="24"/>
          <w:highlight w:val="none"/>
        </w:rPr>
        <w:t>招商新模式</w:t>
      </w:r>
      <w:r>
        <w:rPr>
          <w:i w:val="0"/>
          <w:iCs w:val="0"/>
          <w:sz w:val="24"/>
          <w:szCs w:val="24"/>
        </w:rPr>
        <w:tab/>
      </w:r>
      <w:r>
        <w:rPr>
          <w:i w:val="0"/>
          <w:iCs w:val="0"/>
          <w:sz w:val="24"/>
          <w:szCs w:val="24"/>
        </w:rPr>
        <w:fldChar w:fldCharType="begin"/>
      </w:r>
      <w:r>
        <w:rPr>
          <w:i w:val="0"/>
          <w:iCs w:val="0"/>
          <w:sz w:val="24"/>
          <w:szCs w:val="24"/>
        </w:rPr>
        <w:instrText xml:space="preserve"> PAGEREF _Toc77987515 </w:instrText>
      </w:r>
      <w:r>
        <w:rPr>
          <w:i w:val="0"/>
          <w:iCs w:val="0"/>
          <w:sz w:val="24"/>
          <w:szCs w:val="24"/>
        </w:rPr>
        <w:fldChar w:fldCharType="separate"/>
      </w:r>
      <w:r>
        <w:rPr>
          <w:i w:val="0"/>
          <w:iCs w:val="0"/>
          <w:sz w:val="24"/>
          <w:szCs w:val="24"/>
        </w:rPr>
        <w:t>3</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_Toc1287799130 </w:instrText>
      </w:r>
      <w:r>
        <w:rPr>
          <w:bCs w:val="0"/>
          <w:i w:val="0"/>
          <w:iCs w:val="0"/>
          <w:sz w:val="24"/>
          <w:szCs w:val="24"/>
          <w:highlight w:val="none"/>
        </w:rPr>
        <w:fldChar w:fldCharType="separate"/>
      </w:r>
      <w:r>
        <w:rPr>
          <w:bCs/>
          <w:i w:val="0"/>
          <w:iCs w:val="0"/>
          <w:sz w:val="24"/>
          <w:szCs w:val="24"/>
          <w:highlight w:val="none"/>
        </w:rPr>
        <w:t>2、以大型会展品牌效应构建产业集聚</w:t>
      </w:r>
      <w:r>
        <w:rPr>
          <w:i w:val="0"/>
          <w:iCs w:val="0"/>
          <w:sz w:val="24"/>
          <w:szCs w:val="24"/>
        </w:rPr>
        <w:tab/>
      </w:r>
      <w:r>
        <w:rPr>
          <w:i w:val="0"/>
          <w:iCs w:val="0"/>
          <w:sz w:val="24"/>
          <w:szCs w:val="24"/>
        </w:rPr>
        <w:fldChar w:fldCharType="begin"/>
      </w:r>
      <w:r>
        <w:rPr>
          <w:i w:val="0"/>
          <w:iCs w:val="0"/>
          <w:sz w:val="24"/>
          <w:szCs w:val="24"/>
        </w:rPr>
        <w:instrText xml:space="preserve"> PAGEREF _Toc1287799130 </w:instrText>
      </w:r>
      <w:r>
        <w:rPr>
          <w:i w:val="0"/>
          <w:iCs w:val="0"/>
          <w:sz w:val="24"/>
          <w:szCs w:val="24"/>
        </w:rPr>
        <w:fldChar w:fldCharType="separate"/>
      </w:r>
      <w:r>
        <w:rPr>
          <w:i w:val="0"/>
          <w:iCs w:val="0"/>
          <w:sz w:val="24"/>
          <w:szCs w:val="24"/>
        </w:rPr>
        <w:t>3</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_Toc917525953 </w:instrText>
      </w:r>
      <w:r>
        <w:rPr>
          <w:bCs w:val="0"/>
          <w:i w:val="0"/>
          <w:iCs w:val="0"/>
          <w:sz w:val="24"/>
          <w:szCs w:val="24"/>
          <w:highlight w:val="none"/>
        </w:rPr>
        <w:fldChar w:fldCharType="separate"/>
      </w:r>
      <w:r>
        <w:rPr>
          <w:bCs/>
          <w:i w:val="0"/>
          <w:iCs w:val="0"/>
          <w:sz w:val="24"/>
          <w:szCs w:val="24"/>
          <w:highlight w:val="none"/>
        </w:rPr>
        <w:t>3、联合共建创新平台提升产业化能力</w:t>
      </w:r>
      <w:r>
        <w:rPr>
          <w:i w:val="0"/>
          <w:iCs w:val="0"/>
          <w:sz w:val="24"/>
          <w:szCs w:val="24"/>
        </w:rPr>
        <w:tab/>
      </w:r>
      <w:r>
        <w:rPr>
          <w:i w:val="0"/>
          <w:iCs w:val="0"/>
          <w:sz w:val="24"/>
          <w:szCs w:val="24"/>
        </w:rPr>
        <w:fldChar w:fldCharType="begin"/>
      </w:r>
      <w:r>
        <w:rPr>
          <w:i w:val="0"/>
          <w:iCs w:val="0"/>
          <w:sz w:val="24"/>
          <w:szCs w:val="24"/>
        </w:rPr>
        <w:instrText xml:space="preserve"> PAGEREF _Toc917525953 </w:instrText>
      </w:r>
      <w:r>
        <w:rPr>
          <w:i w:val="0"/>
          <w:iCs w:val="0"/>
          <w:sz w:val="24"/>
          <w:szCs w:val="24"/>
        </w:rPr>
        <w:fldChar w:fldCharType="separate"/>
      </w:r>
      <w:r>
        <w:rPr>
          <w:i w:val="0"/>
          <w:iCs w:val="0"/>
          <w:sz w:val="24"/>
          <w:szCs w:val="24"/>
        </w:rPr>
        <w:t>4</w:t>
      </w:r>
      <w:r>
        <w:rPr>
          <w:i w:val="0"/>
          <w:iCs w:val="0"/>
          <w:sz w:val="24"/>
          <w:szCs w:val="24"/>
        </w:rPr>
        <w:fldChar w:fldCharType="end"/>
      </w:r>
      <w:r>
        <w:rPr>
          <w:bCs w:val="0"/>
          <w:i w:val="0"/>
          <w:iCs w:val="0"/>
          <w:color w:val="auto"/>
          <w:sz w:val="24"/>
          <w:szCs w:val="24"/>
          <w:highlight w:val="none"/>
        </w:rPr>
        <w:fldChar w:fldCharType="end"/>
      </w:r>
    </w:p>
    <w:p>
      <w:pPr>
        <w:pStyle w:val="18"/>
        <w:keepNext w:val="0"/>
        <w:keepLines w:val="0"/>
        <w:pageBreakBefore w:val="0"/>
        <w:widowControl w:val="0"/>
        <w:tabs>
          <w:tab w:val="right" w:leader="dot" w:pos="8448"/>
        </w:tabs>
        <w:kinsoku/>
        <w:wordWrap/>
        <w:overflowPunct/>
        <w:topLinePunct w:val="0"/>
        <w:autoSpaceDE/>
        <w:autoSpaceDN/>
        <w:bidi w:val="0"/>
        <w:adjustRightInd/>
        <w:snapToGrid/>
        <w:spacing w:before="0" w:after="0"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_Toc1749823442 </w:instrText>
      </w:r>
      <w:r>
        <w:rPr>
          <w:bCs w:val="0"/>
          <w:i w:val="0"/>
          <w:iCs w:val="0"/>
          <w:sz w:val="24"/>
          <w:szCs w:val="24"/>
          <w:highlight w:val="none"/>
        </w:rPr>
        <w:fldChar w:fldCharType="separate"/>
      </w:r>
      <w:r>
        <w:rPr>
          <w:rFonts w:eastAsia="黑体"/>
          <w:bCs/>
          <w:i w:val="0"/>
          <w:iCs w:val="0"/>
          <w:kern w:val="44"/>
          <w:sz w:val="24"/>
          <w:szCs w:val="24"/>
          <w:highlight w:val="none"/>
        </w:rPr>
        <w:t>二、“十四五”发展形势</w:t>
      </w:r>
      <w:r>
        <w:rPr>
          <w:i w:val="0"/>
          <w:iCs w:val="0"/>
          <w:sz w:val="24"/>
          <w:szCs w:val="24"/>
        </w:rPr>
        <w:tab/>
      </w:r>
      <w:r>
        <w:rPr>
          <w:i w:val="0"/>
          <w:iCs w:val="0"/>
          <w:sz w:val="24"/>
          <w:szCs w:val="24"/>
        </w:rPr>
        <w:fldChar w:fldCharType="begin"/>
      </w:r>
      <w:r>
        <w:rPr>
          <w:i w:val="0"/>
          <w:iCs w:val="0"/>
          <w:sz w:val="24"/>
          <w:szCs w:val="24"/>
        </w:rPr>
        <w:instrText xml:space="preserve"> PAGEREF _Toc1749823442 </w:instrText>
      </w:r>
      <w:r>
        <w:rPr>
          <w:i w:val="0"/>
          <w:iCs w:val="0"/>
          <w:sz w:val="24"/>
          <w:szCs w:val="24"/>
        </w:rPr>
        <w:fldChar w:fldCharType="separate"/>
      </w:r>
      <w:r>
        <w:rPr>
          <w:i w:val="0"/>
          <w:iCs w:val="0"/>
          <w:sz w:val="24"/>
          <w:szCs w:val="24"/>
        </w:rPr>
        <w:t>5</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_Toc1492831816 </w:instrText>
      </w:r>
      <w:r>
        <w:rPr>
          <w:bCs w:val="0"/>
          <w:i w:val="0"/>
          <w:iCs w:val="0"/>
          <w:sz w:val="24"/>
          <w:szCs w:val="24"/>
          <w:highlight w:val="none"/>
        </w:rPr>
        <w:fldChar w:fldCharType="separate"/>
      </w:r>
      <w:r>
        <w:rPr>
          <w:rFonts w:eastAsia="楷体_GB2312"/>
          <w:bCs/>
          <w:i w:val="0"/>
          <w:iCs w:val="0"/>
          <w:kern w:val="28"/>
          <w:sz w:val="24"/>
          <w:szCs w:val="24"/>
          <w:highlight w:val="none"/>
        </w:rPr>
        <w:t>（一）新一代信息技术引领创新为产业发展创造新机遇</w:t>
      </w:r>
      <w:r>
        <w:rPr>
          <w:i w:val="0"/>
          <w:iCs w:val="0"/>
          <w:sz w:val="24"/>
          <w:szCs w:val="24"/>
        </w:rPr>
        <w:tab/>
      </w:r>
      <w:r>
        <w:rPr>
          <w:i w:val="0"/>
          <w:iCs w:val="0"/>
          <w:sz w:val="24"/>
          <w:szCs w:val="24"/>
        </w:rPr>
        <w:fldChar w:fldCharType="begin"/>
      </w:r>
      <w:r>
        <w:rPr>
          <w:i w:val="0"/>
          <w:iCs w:val="0"/>
          <w:sz w:val="24"/>
          <w:szCs w:val="24"/>
        </w:rPr>
        <w:instrText xml:space="preserve"> PAGEREF _Toc1492831816 </w:instrText>
      </w:r>
      <w:r>
        <w:rPr>
          <w:i w:val="0"/>
          <w:iCs w:val="0"/>
          <w:sz w:val="24"/>
          <w:szCs w:val="24"/>
        </w:rPr>
        <w:fldChar w:fldCharType="separate"/>
      </w:r>
      <w:r>
        <w:rPr>
          <w:i w:val="0"/>
          <w:iCs w:val="0"/>
          <w:sz w:val="24"/>
          <w:szCs w:val="24"/>
        </w:rPr>
        <w:t>5</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_Toc144905820 </w:instrText>
      </w:r>
      <w:r>
        <w:rPr>
          <w:bCs w:val="0"/>
          <w:i w:val="0"/>
          <w:iCs w:val="0"/>
          <w:sz w:val="24"/>
          <w:szCs w:val="24"/>
          <w:highlight w:val="none"/>
        </w:rPr>
        <w:fldChar w:fldCharType="separate"/>
      </w:r>
      <w:r>
        <w:rPr>
          <w:rFonts w:eastAsia="楷体_GB2312"/>
          <w:bCs/>
          <w:i w:val="0"/>
          <w:iCs w:val="0"/>
          <w:kern w:val="28"/>
          <w:sz w:val="24"/>
          <w:szCs w:val="24"/>
          <w:highlight w:val="none"/>
        </w:rPr>
        <w:t>（二）高质量发展对电子信息产业提出新要求</w:t>
      </w:r>
      <w:r>
        <w:rPr>
          <w:i w:val="0"/>
          <w:iCs w:val="0"/>
          <w:sz w:val="24"/>
          <w:szCs w:val="24"/>
        </w:rPr>
        <w:tab/>
      </w:r>
      <w:r>
        <w:rPr>
          <w:i w:val="0"/>
          <w:iCs w:val="0"/>
          <w:sz w:val="24"/>
          <w:szCs w:val="24"/>
        </w:rPr>
        <w:fldChar w:fldCharType="begin"/>
      </w:r>
      <w:r>
        <w:rPr>
          <w:i w:val="0"/>
          <w:iCs w:val="0"/>
          <w:sz w:val="24"/>
          <w:szCs w:val="24"/>
        </w:rPr>
        <w:instrText xml:space="preserve"> PAGEREF _Toc144905820 </w:instrText>
      </w:r>
      <w:r>
        <w:rPr>
          <w:i w:val="0"/>
          <w:iCs w:val="0"/>
          <w:sz w:val="24"/>
          <w:szCs w:val="24"/>
        </w:rPr>
        <w:fldChar w:fldCharType="separate"/>
      </w:r>
      <w:r>
        <w:rPr>
          <w:i w:val="0"/>
          <w:iCs w:val="0"/>
          <w:sz w:val="24"/>
          <w:szCs w:val="24"/>
        </w:rPr>
        <w:t>6</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_Toc137797875 </w:instrText>
      </w:r>
      <w:r>
        <w:rPr>
          <w:bCs w:val="0"/>
          <w:i w:val="0"/>
          <w:iCs w:val="0"/>
          <w:sz w:val="24"/>
          <w:szCs w:val="24"/>
          <w:highlight w:val="none"/>
        </w:rPr>
        <w:fldChar w:fldCharType="separate"/>
      </w:r>
      <w:r>
        <w:rPr>
          <w:rFonts w:eastAsia="楷体_GB2312"/>
          <w:bCs/>
          <w:i w:val="0"/>
          <w:iCs w:val="0"/>
          <w:kern w:val="28"/>
          <w:sz w:val="24"/>
          <w:szCs w:val="24"/>
          <w:highlight w:val="none"/>
        </w:rPr>
        <w:t>（三）外部复杂环境使电子信息产业面临不确定性挑战</w:t>
      </w:r>
      <w:r>
        <w:rPr>
          <w:i w:val="0"/>
          <w:iCs w:val="0"/>
          <w:sz w:val="24"/>
          <w:szCs w:val="24"/>
        </w:rPr>
        <w:tab/>
      </w:r>
      <w:r>
        <w:rPr>
          <w:i w:val="0"/>
          <w:iCs w:val="0"/>
          <w:sz w:val="24"/>
          <w:szCs w:val="24"/>
        </w:rPr>
        <w:fldChar w:fldCharType="begin"/>
      </w:r>
      <w:r>
        <w:rPr>
          <w:i w:val="0"/>
          <w:iCs w:val="0"/>
          <w:sz w:val="24"/>
          <w:szCs w:val="24"/>
        </w:rPr>
        <w:instrText xml:space="preserve"> PAGEREF _Toc137797875 </w:instrText>
      </w:r>
      <w:r>
        <w:rPr>
          <w:i w:val="0"/>
          <w:iCs w:val="0"/>
          <w:sz w:val="24"/>
          <w:szCs w:val="24"/>
        </w:rPr>
        <w:fldChar w:fldCharType="separate"/>
      </w:r>
      <w:r>
        <w:rPr>
          <w:i w:val="0"/>
          <w:iCs w:val="0"/>
          <w:sz w:val="24"/>
          <w:szCs w:val="24"/>
        </w:rPr>
        <w:t>7</w:t>
      </w:r>
      <w:r>
        <w:rPr>
          <w:i w:val="0"/>
          <w:iCs w:val="0"/>
          <w:sz w:val="24"/>
          <w:szCs w:val="24"/>
        </w:rPr>
        <w:fldChar w:fldCharType="end"/>
      </w:r>
      <w:r>
        <w:rPr>
          <w:bCs w:val="0"/>
          <w:i w:val="0"/>
          <w:iCs w:val="0"/>
          <w:color w:val="auto"/>
          <w:sz w:val="24"/>
          <w:szCs w:val="24"/>
          <w:highlight w:val="none"/>
        </w:rPr>
        <w:fldChar w:fldCharType="end"/>
      </w:r>
    </w:p>
    <w:p>
      <w:pPr>
        <w:pStyle w:val="18"/>
        <w:keepNext w:val="0"/>
        <w:keepLines w:val="0"/>
        <w:pageBreakBefore w:val="0"/>
        <w:widowControl w:val="0"/>
        <w:tabs>
          <w:tab w:val="right" w:leader="dot" w:pos="8448"/>
        </w:tabs>
        <w:kinsoku/>
        <w:wordWrap/>
        <w:overflowPunct/>
        <w:topLinePunct w:val="0"/>
        <w:autoSpaceDE/>
        <w:autoSpaceDN/>
        <w:bidi w:val="0"/>
        <w:adjustRightInd/>
        <w:snapToGrid/>
        <w:spacing w:before="0" w:after="0"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_Toc315894641 </w:instrText>
      </w:r>
      <w:r>
        <w:rPr>
          <w:bCs w:val="0"/>
          <w:i w:val="0"/>
          <w:iCs w:val="0"/>
          <w:sz w:val="24"/>
          <w:szCs w:val="24"/>
          <w:highlight w:val="none"/>
        </w:rPr>
        <w:fldChar w:fldCharType="separate"/>
      </w:r>
      <w:r>
        <w:rPr>
          <w:rFonts w:eastAsia="黑体"/>
          <w:bCs/>
          <w:i w:val="0"/>
          <w:iCs w:val="0"/>
          <w:kern w:val="44"/>
          <w:sz w:val="24"/>
          <w:szCs w:val="24"/>
          <w:highlight w:val="none"/>
        </w:rPr>
        <w:t>三、总体要求</w:t>
      </w:r>
      <w:r>
        <w:rPr>
          <w:i w:val="0"/>
          <w:iCs w:val="0"/>
          <w:sz w:val="24"/>
          <w:szCs w:val="24"/>
        </w:rPr>
        <w:tab/>
      </w:r>
      <w:r>
        <w:rPr>
          <w:i w:val="0"/>
          <w:iCs w:val="0"/>
          <w:sz w:val="24"/>
          <w:szCs w:val="24"/>
        </w:rPr>
        <w:fldChar w:fldCharType="begin"/>
      </w:r>
      <w:r>
        <w:rPr>
          <w:i w:val="0"/>
          <w:iCs w:val="0"/>
          <w:sz w:val="24"/>
          <w:szCs w:val="24"/>
        </w:rPr>
        <w:instrText xml:space="preserve"> PAGEREF _Toc315894641 </w:instrText>
      </w:r>
      <w:r>
        <w:rPr>
          <w:i w:val="0"/>
          <w:iCs w:val="0"/>
          <w:sz w:val="24"/>
          <w:szCs w:val="24"/>
        </w:rPr>
        <w:fldChar w:fldCharType="separate"/>
      </w:r>
      <w:r>
        <w:rPr>
          <w:i w:val="0"/>
          <w:iCs w:val="0"/>
          <w:sz w:val="24"/>
          <w:szCs w:val="24"/>
        </w:rPr>
        <w:t>8</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_Toc1476228146 </w:instrText>
      </w:r>
      <w:r>
        <w:rPr>
          <w:bCs w:val="0"/>
          <w:i w:val="0"/>
          <w:iCs w:val="0"/>
          <w:sz w:val="24"/>
          <w:szCs w:val="24"/>
          <w:highlight w:val="none"/>
        </w:rPr>
        <w:fldChar w:fldCharType="separate"/>
      </w:r>
      <w:r>
        <w:rPr>
          <w:rFonts w:eastAsia="楷体_GB2312"/>
          <w:bCs/>
          <w:i w:val="0"/>
          <w:iCs w:val="0"/>
          <w:kern w:val="28"/>
          <w:sz w:val="24"/>
          <w:szCs w:val="24"/>
          <w:highlight w:val="none"/>
        </w:rPr>
        <w:t>（一）指导思想</w:t>
      </w:r>
      <w:r>
        <w:rPr>
          <w:i w:val="0"/>
          <w:iCs w:val="0"/>
          <w:sz w:val="24"/>
          <w:szCs w:val="24"/>
        </w:rPr>
        <w:tab/>
      </w:r>
      <w:r>
        <w:rPr>
          <w:i w:val="0"/>
          <w:iCs w:val="0"/>
          <w:sz w:val="24"/>
          <w:szCs w:val="24"/>
        </w:rPr>
        <w:fldChar w:fldCharType="begin"/>
      </w:r>
      <w:r>
        <w:rPr>
          <w:i w:val="0"/>
          <w:iCs w:val="0"/>
          <w:sz w:val="24"/>
          <w:szCs w:val="24"/>
        </w:rPr>
        <w:instrText xml:space="preserve"> PAGEREF _Toc1476228146 </w:instrText>
      </w:r>
      <w:r>
        <w:rPr>
          <w:i w:val="0"/>
          <w:iCs w:val="0"/>
          <w:sz w:val="24"/>
          <w:szCs w:val="24"/>
        </w:rPr>
        <w:fldChar w:fldCharType="separate"/>
      </w:r>
      <w:r>
        <w:rPr>
          <w:i w:val="0"/>
          <w:iCs w:val="0"/>
          <w:sz w:val="24"/>
          <w:szCs w:val="24"/>
        </w:rPr>
        <w:t>8</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_Toc710602372 </w:instrText>
      </w:r>
      <w:r>
        <w:rPr>
          <w:bCs w:val="0"/>
          <w:i w:val="0"/>
          <w:iCs w:val="0"/>
          <w:sz w:val="24"/>
          <w:szCs w:val="24"/>
          <w:highlight w:val="none"/>
        </w:rPr>
        <w:fldChar w:fldCharType="separate"/>
      </w:r>
      <w:r>
        <w:rPr>
          <w:rFonts w:eastAsia="楷体_GB2312"/>
          <w:bCs/>
          <w:i w:val="0"/>
          <w:iCs w:val="0"/>
          <w:kern w:val="28"/>
          <w:sz w:val="24"/>
          <w:szCs w:val="24"/>
          <w:highlight w:val="none"/>
        </w:rPr>
        <w:t>（二）基本原则</w:t>
      </w:r>
      <w:r>
        <w:rPr>
          <w:i w:val="0"/>
          <w:iCs w:val="0"/>
          <w:sz w:val="24"/>
          <w:szCs w:val="24"/>
        </w:rPr>
        <w:tab/>
      </w:r>
      <w:r>
        <w:rPr>
          <w:i w:val="0"/>
          <w:iCs w:val="0"/>
          <w:sz w:val="24"/>
          <w:szCs w:val="24"/>
        </w:rPr>
        <w:fldChar w:fldCharType="begin"/>
      </w:r>
      <w:r>
        <w:rPr>
          <w:i w:val="0"/>
          <w:iCs w:val="0"/>
          <w:sz w:val="24"/>
          <w:szCs w:val="24"/>
        </w:rPr>
        <w:instrText xml:space="preserve"> PAGEREF _Toc710602372 </w:instrText>
      </w:r>
      <w:r>
        <w:rPr>
          <w:i w:val="0"/>
          <w:iCs w:val="0"/>
          <w:sz w:val="24"/>
          <w:szCs w:val="24"/>
        </w:rPr>
        <w:fldChar w:fldCharType="separate"/>
      </w:r>
      <w:r>
        <w:rPr>
          <w:i w:val="0"/>
          <w:iCs w:val="0"/>
          <w:sz w:val="24"/>
          <w:szCs w:val="24"/>
        </w:rPr>
        <w:t>9</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_Toc1055432164 </w:instrText>
      </w:r>
      <w:r>
        <w:rPr>
          <w:bCs w:val="0"/>
          <w:i w:val="0"/>
          <w:iCs w:val="0"/>
          <w:sz w:val="24"/>
          <w:szCs w:val="24"/>
          <w:highlight w:val="none"/>
        </w:rPr>
        <w:fldChar w:fldCharType="separate"/>
      </w:r>
      <w:r>
        <w:rPr>
          <w:rFonts w:eastAsia="楷体_GB2312"/>
          <w:bCs/>
          <w:i w:val="0"/>
          <w:iCs w:val="0"/>
          <w:kern w:val="28"/>
          <w:sz w:val="24"/>
          <w:szCs w:val="24"/>
          <w:highlight w:val="none"/>
        </w:rPr>
        <w:t>（三）发展目标</w:t>
      </w:r>
      <w:r>
        <w:rPr>
          <w:i w:val="0"/>
          <w:iCs w:val="0"/>
          <w:sz w:val="24"/>
          <w:szCs w:val="24"/>
        </w:rPr>
        <w:tab/>
      </w:r>
      <w:r>
        <w:rPr>
          <w:i w:val="0"/>
          <w:iCs w:val="0"/>
          <w:sz w:val="24"/>
          <w:szCs w:val="24"/>
        </w:rPr>
        <w:fldChar w:fldCharType="begin"/>
      </w:r>
      <w:r>
        <w:rPr>
          <w:i w:val="0"/>
          <w:iCs w:val="0"/>
          <w:sz w:val="24"/>
          <w:szCs w:val="24"/>
        </w:rPr>
        <w:instrText xml:space="preserve"> PAGEREF _Toc1055432164 </w:instrText>
      </w:r>
      <w:r>
        <w:rPr>
          <w:i w:val="0"/>
          <w:iCs w:val="0"/>
          <w:sz w:val="24"/>
          <w:szCs w:val="24"/>
        </w:rPr>
        <w:fldChar w:fldCharType="separate"/>
      </w:r>
      <w:r>
        <w:rPr>
          <w:i w:val="0"/>
          <w:iCs w:val="0"/>
          <w:sz w:val="24"/>
          <w:szCs w:val="24"/>
        </w:rPr>
        <w:t>9</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_Toc1342896405 </w:instrText>
      </w:r>
      <w:r>
        <w:rPr>
          <w:bCs w:val="0"/>
          <w:i w:val="0"/>
          <w:iCs w:val="0"/>
          <w:sz w:val="24"/>
          <w:szCs w:val="24"/>
          <w:highlight w:val="none"/>
        </w:rPr>
        <w:fldChar w:fldCharType="separate"/>
      </w:r>
      <w:r>
        <w:rPr>
          <w:i w:val="0"/>
          <w:iCs w:val="0"/>
          <w:sz w:val="24"/>
          <w:szCs w:val="24"/>
          <w:highlight w:val="none"/>
        </w:rPr>
        <w:t>1、整体目标</w:t>
      </w:r>
      <w:r>
        <w:rPr>
          <w:i w:val="0"/>
          <w:iCs w:val="0"/>
          <w:sz w:val="24"/>
          <w:szCs w:val="24"/>
        </w:rPr>
        <w:tab/>
      </w:r>
      <w:r>
        <w:rPr>
          <w:i w:val="0"/>
          <w:iCs w:val="0"/>
          <w:sz w:val="24"/>
          <w:szCs w:val="24"/>
        </w:rPr>
        <w:fldChar w:fldCharType="begin"/>
      </w:r>
      <w:r>
        <w:rPr>
          <w:i w:val="0"/>
          <w:iCs w:val="0"/>
          <w:sz w:val="24"/>
          <w:szCs w:val="24"/>
        </w:rPr>
        <w:instrText xml:space="preserve"> PAGEREF _Toc1342896405 </w:instrText>
      </w:r>
      <w:r>
        <w:rPr>
          <w:i w:val="0"/>
          <w:iCs w:val="0"/>
          <w:sz w:val="24"/>
          <w:szCs w:val="24"/>
        </w:rPr>
        <w:fldChar w:fldCharType="separate"/>
      </w:r>
      <w:r>
        <w:rPr>
          <w:i w:val="0"/>
          <w:iCs w:val="0"/>
          <w:sz w:val="24"/>
          <w:szCs w:val="24"/>
        </w:rPr>
        <w:t>10</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_Toc98503827 </w:instrText>
      </w:r>
      <w:r>
        <w:rPr>
          <w:bCs w:val="0"/>
          <w:i w:val="0"/>
          <w:iCs w:val="0"/>
          <w:sz w:val="24"/>
          <w:szCs w:val="24"/>
          <w:highlight w:val="none"/>
        </w:rPr>
        <w:fldChar w:fldCharType="separate"/>
      </w:r>
      <w:r>
        <w:rPr>
          <w:i w:val="0"/>
          <w:iCs w:val="0"/>
          <w:sz w:val="24"/>
          <w:szCs w:val="24"/>
          <w:highlight w:val="none"/>
        </w:rPr>
        <w:t>2、分行业目标</w:t>
      </w:r>
      <w:r>
        <w:rPr>
          <w:i w:val="0"/>
          <w:iCs w:val="0"/>
          <w:sz w:val="24"/>
          <w:szCs w:val="24"/>
        </w:rPr>
        <w:tab/>
      </w:r>
      <w:r>
        <w:rPr>
          <w:i w:val="0"/>
          <w:iCs w:val="0"/>
          <w:sz w:val="24"/>
          <w:szCs w:val="24"/>
        </w:rPr>
        <w:fldChar w:fldCharType="begin"/>
      </w:r>
      <w:r>
        <w:rPr>
          <w:i w:val="0"/>
          <w:iCs w:val="0"/>
          <w:sz w:val="24"/>
          <w:szCs w:val="24"/>
        </w:rPr>
        <w:instrText xml:space="preserve"> PAGEREF _Toc98503827 </w:instrText>
      </w:r>
      <w:r>
        <w:rPr>
          <w:i w:val="0"/>
          <w:iCs w:val="0"/>
          <w:sz w:val="24"/>
          <w:szCs w:val="24"/>
        </w:rPr>
        <w:fldChar w:fldCharType="separate"/>
      </w:r>
      <w:r>
        <w:rPr>
          <w:i w:val="0"/>
          <w:iCs w:val="0"/>
          <w:sz w:val="24"/>
          <w:szCs w:val="24"/>
        </w:rPr>
        <w:t>11</w:t>
      </w:r>
      <w:r>
        <w:rPr>
          <w:i w:val="0"/>
          <w:iCs w:val="0"/>
          <w:sz w:val="24"/>
          <w:szCs w:val="24"/>
        </w:rPr>
        <w:fldChar w:fldCharType="end"/>
      </w:r>
      <w:r>
        <w:rPr>
          <w:bCs w:val="0"/>
          <w:i w:val="0"/>
          <w:iCs w:val="0"/>
          <w:color w:val="auto"/>
          <w:sz w:val="24"/>
          <w:szCs w:val="24"/>
          <w:highlight w:val="none"/>
        </w:rPr>
        <w:fldChar w:fldCharType="end"/>
      </w:r>
    </w:p>
    <w:p>
      <w:pPr>
        <w:pStyle w:val="18"/>
        <w:keepNext w:val="0"/>
        <w:keepLines w:val="0"/>
        <w:pageBreakBefore w:val="0"/>
        <w:widowControl w:val="0"/>
        <w:tabs>
          <w:tab w:val="right" w:leader="dot" w:pos="8448"/>
        </w:tabs>
        <w:kinsoku/>
        <w:wordWrap/>
        <w:overflowPunct/>
        <w:topLinePunct w:val="0"/>
        <w:autoSpaceDE/>
        <w:autoSpaceDN/>
        <w:bidi w:val="0"/>
        <w:adjustRightInd/>
        <w:snapToGrid/>
        <w:spacing w:before="0" w:after="0"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_Toc294480432 </w:instrText>
      </w:r>
      <w:r>
        <w:rPr>
          <w:bCs w:val="0"/>
          <w:i w:val="0"/>
          <w:iCs w:val="0"/>
          <w:sz w:val="24"/>
          <w:szCs w:val="24"/>
          <w:highlight w:val="none"/>
        </w:rPr>
        <w:fldChar w:fldCharType="separate"/>
      </w:r>
      <w:r>
        <w:rPr>
          <w:rFonts w:eastAsia="黑体"/>
          <w:bCs/>
          <w:i w:val="0"/>
          <w:iCs w:val="0"/>
          <w:kern w:val="44"/>
          <w:sz w:val="24"/>
          <w:szCs w:val="24"/>
          <w:highlight w:val="none"/>
        </w:rPr>
        <w:t>四、重点领域</w:t>
      </w:r>
      <w:r>
        <w:rPr>
          <w:i w:val="0"/>
          <w:iCs w:val="0"/>
          <w:sz w:val="24"/>
          <w:szCs w:val="24"/>
        </w:rPr>
        <w:tab/>
      </w:r>
      <w:r>
        <w:rPr>
          <w:i w:val="0"/>
          <w:iCs w:val="0"/>
          <w:sz w:val="24"/>
          <w:szCs w:val="24"/>
        </w:rPr>
        <w:fldChar w:fldCharType="begin"/>
      </w:r>
      <w:r>
        <w:rPr>
          <w:i w:val="0"/>
          <w:iCs w:val="0"/>
          <w:sz w:val="24"/>
          <w:szCs w:val="24"/>
        </w:rPr>
        <w:instrText xml:space="preserve"> PAGEREF _Toc294480432 </w:instrText>
      </w:r>
      <w:r>
        <w:rPr>
          <w:i w:val="0"/>
          <w:iCs w:val="0"/>
          <w:sz w:val="24"/>
          <w:szCs w:val="24"/>
        </w:rPr>
        <w:fldChar w:fldCharType="separate"/>
      </w:r>
      <w:r>
        <w:rPr>
          <w:i w:val="0"/>
          <w:iCs w:val="0"/>
          <w:sz w:val="24"/>
          <w:szCs w:val="24"/>
        </w:rPr>
        <w:t>13</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_Toc821697981 </w:instrText>
      </w:r>
      <w:r>
        <w:rPr>
          <w:bCs w:val="0"/>
          <w:i w:val="0"/>
          <w:iCs w:val="0"/>
          <w:sz w:val="24"/>
          <w:szCs w:val="24"/>
          <w:highlight w:val="none"/>
        </w:rPr>
        <w:fldChar w:fldCharType="separate"/>
      </w:r>
      <w:r>
        <w:rPr>
          <w:rFonts w:eastAsia="楷体_GB2312"/>
          <w:bCs/>
          <w:i w:val="0"/>
          <w:iCs w:val="0"/>
          <w:kern w:val="28"/>
          <w:sz w:val="24"/>
          <w:szCs w:val="24"/>
          <w:highlight w:val="none"/>
        </w:rPr>
        <w:t>（一）做大做强核心优势产业</w:t>
      </w:r>
      <w:r>
        <w:rPr>
          <w:i w:val="0"/>
          <w:iCs w:val="0"/>
          <w:sz w:val="24"/>
          <w:szCs w:val="24"/>
        </w:rPr>
        <w:tab/>
      </w:r>
      <w:r>
        <w:rPr>
          <w:i w:val="0"/>
          <w:iCs w:val="0"/>
          <w:sz w:val="24"/>
          <w:szCs w:val="24"/>
        </w:rPr>
        <w:fldChar w:fldCharType="begin"/>
      </w:r>
      <w:r>
        <w:rPr>
          <w:i w:val="0"/>
          <w:iCs w:val="0"/>
          <w:sz w:val="24"/>
          <w:szCs w:val="24"/>
        </w:rPr>
        <w:instrText xml:space="preserve"> PAGEREF _Toc821697981 </w:instrText>
      </w:r>
      <w:r>
        <w:rPr>
          <w:i w:val="0"/>
          <w:iCs w:val="0"/>
          <w:sz w:val="24"/>
          <w:szCs w:val="24"/>
        </w:rPr>
        <w:fldChar w:fldCharType="separate"/>
      </w:r>
      <w:r>
        <w:rPr>
          <w:i w:val="0"/>
          <w:iCs w:val="0"/>
          <w:sz w:val="24"/>
          <w:szCs w:val="24"/>
        </w:rPr>
        <w:t>13</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_Toc1001824931 </w:instrText>
      </w:r>
      <w:r>
        <w:rPr>
          <w:bCs w:val="0"/>
          <w:i w:val="0"/>
          <w:iCs w:val="0"/>
          <w:sz w:val="24"/>
          <w:szCs w:val="24"/>
          <w:highlight w:val="none"/>
        </w:rPr>
        <w:fldChar w:fldCharType="separate"/>
      </w:r>
      <w:r>
        <w:rPr>
          <w:i w:val="0"/>
          <w:iCs w:val="0"/>
          <w:sz w:val="24"/>
          <w:szCs w:val="24"/>
          <w:highlight w:val="none"/>
        </w:rPr>
        <w:t>1、移动智能终端</w:t>
      </w:r>
      <w:r>
        <w:rPr>
          <w:i w:val="0"/>
          <w:iCs w:val="0"/>
          <w:sz w:val="24"/>
          <w:szCs w:val="24"/>
        </w:rPr>
        <w:tab/>
      </w:r>
      <w:r>
        <w:rPr>
          <w:i w:val="0"/>
          <w:iCs w:val="0"/>
          <w:sz w:val="24"/>
          <w:szCs w:val="24"/>
        </w:rPr>
        <w:fldChar w:fldCharType="begin"/>
      </w:r>
      <w:r>
        <w:rPr>
          <w:i w:val="0"/>
          <w:iCs w:val="0"/>
          <w:sz w:val="24"/>
          <w:szCs w:val="24"/>
        </w:rPr>
        <w:instrText xml:space="preserve"> PAGEREF _Toc1001824931 </w:instrText>
      </w:r>
      <w:r>
        <w:rPr>
          <w:i w:val="0"/>
          <w:iCs w:val="0"/>
          <w:sz w:val="24"/>
          <w:szCs w:val="24"/>
        </w:rPr>
        <w:fldChar w:fldCharType="separate"/>
      </w:r>
      <w:r>
        <w:rPr>
          <w:i w:val="0"/>
          <w:iCs w:val="0"/>
          <w:sz w:val="24"/>
          <w:szCs w:val="24"/>
        </w:rPr>
        <w:t>13</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_Toc1155427084 </w:instrText>
      </w:r>
      <w:r>
        <w:rPr>
          <w:bCs w:val="0"/>
          <w:i w:val="0"/>
          <w:iCs w:val="0"/>
          <w:sz w:val="24"/>
          <w:szCs w:val="24"/>
          <w:highlight w:val="none"/>
        </w:rPr>
        <w:fldChar w:fldCharType="separate"/>
      </w:r>
      <w:r>
        <w:rPr>
          <w:i w:val="0"/>
          <w:iCs w:val="0"/>
          <w:sz w:val="24"/>
          <w:szCs w:val="24"/>
          <w:highlight w:val="none"/>
        </w:rPr>
        <w:t>2、LED</w:t>
      </w:r>
      <w:r>
        <w:rPr>
          <w:i w:val="0"/>
          <w:iCs w:val="0"/>
          <w:sz w:val="24"/>
          <w:szCs w:val="24"/>
        </w:rPr>
        <w:tab/>
      </w:r>
      <w:r>
        <w:rPr>
          <w:i w:val="0"/>
          <w:iCs w:val="0"/>
          <w:sz w:val="24"/>
          <w:szCs w:val="24"/>
        </w:rPr>
        <w:fldChar w:fldCharType="begin"/>
      </w:r>
      <w:r>
        <w:rPr>
          <w:i w:val="0"/>
          <w:iCs w:val="0"/>
          <w:sz w:val="24"/>
          <w:szCs w:val="24"/>
        </w:rPr>
        <w:instrText xml:space="preserve"> PAGEREF _Toc1155427084 </w:instrText>
      </w:r>
      <w:r>
        <w:rPr>
          <w:i w:val="0"/>
          <w:iCs w:val="0"/>
          <w:sz w:val="24"/>
          <w:szCs w:val="24"/>
        </w:rPr>
        <w:fldChar w:fldCharType="separate"/>
      </w:r>
      <w:r>
        <w:rPr>
          <w:i w:val="0"/>
          <w:iCs w:val="0"/>
          <w:sz w:val="24"/>
          <w:szCs w:val="24"/>
        </w:rPr>
        <w:t>15</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_Toc532531264 </w:instrText>
      </w:r>
      <w:r>
        <w:rPr>
          <w:bCs w:val="0"/>
          <w:i w:val="0"/>
          <w:iCs w:val="0"/>
          <w:sz w:val="24"/>
          <w:szCs w:val="24"/>
          <w:highlight w:val="none"/>
        </w:rPr>
        <w:fldChar w:fldCharType="separate"/>
      </w:r>
      <w:r>
        <w:rPr>
          <w:i w:val="0"/>
          <w:iCs w:val="0"/>
          <w:sz w:val="24"/>
          <w:szCs w:val="24"/>
          <w:highlight w:val="none"/>
        </w:rPr>
        <w:t>3、VR</w:t>
      </w:r>
      <w:r>
        <w:rPr>
          <w:i w:val="0"/>
          <w:iCs w:val="0"/>
          <w:sz w:val="24"/>
          <w:szCs w:val="24"/>
        </w:rPr>
        <w:tab/>
      </w:r>
      <w:r>
        <w:rPr>
          <w:i w:val="0"/>
          <w:iCs w:val="0"/>
          <w:sz w:val="24"/>
          <w:szCs w:val="24"/>
        </w:rPr>
        <w:fldChar w:fldCharType="begin"/>
      </w:r>
      <w:r>
        <w:rPr>
          <w:i w:val="0"/>
          <w:iCs w:val="0"/>
          <w:sz w:val="24"/>
          <w:szCs w:val="24"/>
        </w:rPr>
        <w:instrText xml:space="preserve"> PAGEREF _Toc532531264 </w:instrText>
      </w:r>
      <w:r>
        <w:rPr>
          <w:i w:val="0"/>
          <w:iCs w:val="0"/>
          <w:sz w:val="24"/>
          <w:szCs w:val="24"/>
        </w:rPr>
        <w:fldChar w:fldCharType="separate"/>
      </w:r>
      <w:r>
        <w:rPr>
          <w:i w:val="0"/>
          <w:iCs w:val="0"/>
          <w:sz w:val="24"/>
          <w:szCs w:val="24"/>
        </w:rPr>
        <w:t>17</w:t>
      </w:r>
      <w:r>
        <w:rPr>
          <w:i w:val="0"/>
          <w:iCs w:val="0"/>
          <w:sz w:val="24"/>
          <w:szCs w:val="24"/>
        </w:rPr>
        <w:fldChar w:fldCharType="end"/>
      </w:r>
      <w:r>
        <w:rPr>
          <w:bCs w:val="0"/>
          <w:i w:val="0"/>
          <w:iCs w:val="0"/>
          <w:color w:val="auto"/>
          <w:sz w:val="24"/>
          <w:szCs w:val="24"/>
          <w:highlight w:val="none"/>
        </w:rPr>
        <w:fldChar w:fldCharType="end"/>
      </w:r>
      <w:bookmarkStart w:id="244" w:name="_GoBack"/>
      <w:bookmarkEnd w:id="244"/>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_Toc249020460 </w:instrText>
      </w:r>
      <w:r>
        <w:rPr>
          <w:bCs w:val="0"/>
          <w:i w:val="0"/>
          <w:iCs w:val="0"/>
          <w:sz w:val="24"/>
          <w:szCs w:val="24"/>
          <w:highlight w:val="none"/>
        </w:rPr>
        <w:fldChar w:fldCharType="separate"/>
      </w:r>
      <w:r>
        <w:rPr>
          <w:rFonts w:hint="eastAsia"/>
          <w:bCs w:val="0"/>
          <w:i w:val="0"/>
          <w:iCs w:val="0"/>
          <w:sz w:val="24"/>
          <w:szCs w:val="24"/>
          <w:highlight w:val="none"/>
          <w:lang w:val="en-US" w:eastAsia="zh-CN"/>
        </w:rPr>
        <w:t>4</w:t>
      </w:r>
      <w:r>
        <w:rPr>
          <w:bCs w:val="0"/>
          <w:i w:val="0"/>
          <w:iCs w:val="0"/>
          <w:sz w:val="24"/>
          <w:szCs w:val="24"/>
          <w:highlight w:val="none"/>
        </w:rPr>
        <w:t>、5G</w:t>
      </w:r>
      <w:r>
        <w:rPr>
          <w:i w:val="0"/>
          <w:iCs w:val="0"/>
          <w:sz w:val="24"/>
          <w:szCs w:val="24"/>
        </w:rPr>
        <w:tab/>
      </w:r>
      <w:r>
        <w:rPr>
          <w:i w:val="0"/>
          <w:iCs w:val="0"/>
          <w:sz w:val="24"/>
          <w:szCs w:val="24"/>
        </w:rPr>
        <w:fldChar w:fldCharType="begin"/>
      </w:r>
      <w:r>
        <w:rPr>
          <w:i w:val="0"/>
          <w:iCs w:val="0"/>
          <w:sz w:val="24"/>
          <w:szCs w:val="24"/>
        </w:rPr>
        <w:instrText xml:space="preserve"> PAGEREF _Toc249020460 </w:instrText>
      </w:r>
      <w:r>
        <w:rPr>
          <w:i w:val="0"/>
          <w:iCs w:val="0"/>
          <w:sz w:val="24"/>
          <w:szCs w:val="24"/>
        </w:rPr>
        <w:fldChar w:fldCharType="separate"/>
      </w:r>
      <w:r>
        <w:rPr>
          <w:i w:val="0"/>
          <w:iCs w:val="0"/>
          <w:sz w:val="24"/>
          <w:szCs w:val="24"/>
        </w:rPr>
        <w:t>19</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_Toc783102079 </w:instrText>
      </w:r>
      <w:r>
        <w:rPr>
          <w:bCs w:val="0"/>
          <w:i w:val="0"/>
          <w:iCs w:val="0"/>
          <w:sz w:val="24"/>
          <w:szCs w:val="24"/>
          <w:highlight w:val="none"/>
        </w:rPr>
        <w:fldChar w:fldCharType="separate"/>
      </w:r>
      <w:r>
        <w:rPr>
          <w:rFonts w:eastAsia="楷体_GB2312"/>
          <w:bCs/>
          <w:i w:val="0"/>
          <w:iCs w:val="0"/>
          <w:kern w:val="28"/>
          <w:sz w:val="24"/>
          <w:szCs w:val="24"/>
          <w:highlight w:val="none"/>
        </w:rPr>
        <w:t>（二）延伸基础电子产业链条</w:t>
      </w:r>
      <w:r>
        <w:rPr>
          <w:i w:val="0"/>
          <w:iCs w:val="0"/>
          <w:sz w:val="24"/>
          <w:szCs w:val="24"/>
        </w:rPr>
        <w:tab/>
      </w:r>
      <w:r>
        <w:rPr>
          <w:i w:val="0"/>
          <w:iCs w:val="0"/>
          <w:sz w:val="24"/>
          <w:szCs w:val="24"/>
        </w:rPr>
        <w:fldChar w:fldCharType="begin"/>
      </w:r>
      <w:r>
        <w:rPr>
          <w:i w:val="0"/>
          <w:iCs w:val="0"/>
          <w:sz w:val="24"/>
          <w:szCs w:val="24"/>
        </w:rPr>
        <w:instrText xml:space="preserve"> PAGEREF _Toc783102079 </w:instrText>
      </w:r>
      <w:r>
        <w:rPr>
          <w:i w:val="0"/>
          <w:iCs w:val="0"/>
          <w:sz w:val="24"/>
          <w:szCs w:val="24"/>
        </w:rPr>
        <w:fldChar w:fldCharType="separate"/>
      </w:r>
      <w:r>
        <w:rPr>
          <w:i w:val="0"/>
          <w:iCs w:val="0"/>
          <w:sz w:val="24"/>
          <w:szCs w:val="24"/>
        </w:rPr>
        <w:t>20</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_Toc1565298997 </w:instrText>
      </w:r>
      <w:r>
        <w:rPr>
          <w:bCs w:val="0"/>
          <w:i w:val="0"/>
          <w:iCs w:val="0"/>
          <w:sz w:val="24"/>
          <w:szCs w:val="24"/>
          <w:highlight w:val="none"/>
        </w:rPr>
        <w:fldChar w:fldCharType="separate"/>
      </w:r>
      <w:r>
        <w:rPr>
          <w:i w:val="0"/>
          <w:iCs w:val="0"/>
          <w:sz w:val="24"/>
          <w:szCs w:val="24"/>
          <w:highlight w:val="none"/>
        </w:rPr>
        <w:t>1</w:t>
      </w:r>
      <w:r>
        <w:rPr>
          <w:rFonts w:hint="eastAsia"/>
          <w:i w:val="0"/>
          <w:iCs w:val="0"/>
          <w:sz w:val="24"/>
          <w:szCs w:val="24"/>
          <w:highlight w:val="none"/>
        </w:rPr>
        <w:t>、新型显示</w:t>
      </w:r>
      <w:r>
        <w:rPr>
          <w:i w:val="0"/>
          <w:iCs w:val="0"/>
          <w:sz w:val="24"/>
          <w:szCs w:val="24"/>
        </w:rPr>
        <w:tab/>
      </w:r>
      <w:r>
        <w:rPr>
          <w:i w:val="0"/>
          <w:iCs w:val="0"/>
          <w:sz w:val="24"/>
          <w:szCs w:val="24"/>
        </w:rPr>
        <w:fldChar w:fldCharType="begin"/>
      </w:r>
      <w:r>
        <w:rPr>
          <w:i w:val="0"/>
          <w:iCs w:val="0"/>
          <w:sz w:val="24"/>
          <w:szCs w:val="24"/>
        </w:rPr>
        <w:instrText xml:space="preserve"> PAGEREF _Toc1565298997 </w:instrText>
      </w:r>
      <w:r>
        <w:rPr>
          <w:i w:val="0"/>
          <w:iCs w:val="0"/>
          <w:sz w:val="24"/>
          <w:szCs w:val="24"/>
        </w:rPr>
        <w:fldChar w:fldCharType="separate"/>
      </w:r>
      <w:r>
        <w:rPr>
          <w:i w:val="0"/>
          <w:iCs w:val="0"/>
          <w:sz w:val="24"/>
          <w:szCs w:val="24"/>
        </w:rPr>
        <w:t>21</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_Toc1604656803 </w:instrText>
      </w:r>
      <w:r>
        <w:rPr>
          <w:bCs w:val="0"/>
          <w:i w:val="0"/>
          <w:iCs w:val="0"/>
          <w:sz w:val="24"/>
          <w:szCs w:val="24"/>
          <w:highlight w:val="none"/>
        </w:rPr>
        <w:fldChar w:fldCharType="separate"/>
      </w:r>
      <w:r>
        <w:rPr>
          <w:bCs w:val="0"/>
          <w:i w:val="0"/>
          <w:iCs w:val="0"/>
          <w:sz w:val="24"/>
          <w:szCs w:val="24"/>
          <w:highlight w:val="none"/>
        </w:rPr>
        <w:t>2、电子材料</w:t>
      </w:r>
      <w:r>
        <w:rPr>
          <w:i w:val="0"/>
          <w:iCs w:val="0"/>
          <w:sz w:val="24"/>
          <w:szCs w:val="24"/>
        </w:rPr>
        <w:tab/>
      </w:r>
      <w:r>
        <w:rPr>
          <w:i w:val="0"/>
          <w:iCs w:val="0"/>
          <w:sz w:val="24"/>
          <w:szCs w:val="24"/>
        </w:rPr>
        <w:fldChar w:fldCharType="begin"/>
      </w:r>
      <w:r>
        <w:rPr>
          <w:i w:val="0"/>
          <w:iCs w:val="0"/>
          <w:sz w:val="24"/>
          <w:szCs w:val="24"/>
        </w:rPr>
        <w:instrText xml:space="preserve"> PAGEREF _Toc1604656803 </w:instrText>
      </w:r>
      <w:r>
        <w:rPr>
          <w:i w:val="0"/>
          <w:iCs w:val="0"/>
          <w:sz w:val="24"/>
          <w:szCs w:val="24"/>
        </w:rPr>
        <w:fldChar w:fldCharType="separate"/>
      </w:r>
      <w:r>
        <w:rPr>
          <w:i w:val="0"/>
          <w:iCs w:val="0"/>
          <w:sz w:val="24"/>
          <w:szCs w:val="24"/>
        </w:rPr>
        <w:t>23</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_Toc3788783 </w:instrText>
      </w:r>
      <w:r>
        <w:rPr>
          <w:bCs w:val="0"/>
          <w:i w:val="0"/>
          <w:iCs w:val="0"/>
          <w:sz w:val="24"/>
          <w:szCs w:val="24"/>
          <w:highlight w:val="none"/>
        </w:rPr>
        <w:fldChar w:fldCharType="separate"/>
      </w:r>
      <w:r>
        <w:rPr>
          <w:bCs w:val="0"/>
          <w:i w:val="0"/>
          <w:iCs w:val="0"/>
          <w:sz w:val="24"/>
          <w:szCs w:val="24"/>
          <w:highlight w:val="none"/>
        </w:rPr>
        <w:t>3、电子元器件</w:t>
      </w:r>
      <w:r>
        <w:rPr>
          <w:i w:val="0"/>
          <w:iCs w:val="0"/>
          <w:sz w:val="24"/>
          <w:szCs w:val="24"/>
        </w:rPr>
        <w:tab/>
      </w:r>
      <w:r>
        <w:rPr>
          <w:i w:val="0"/>
          <w:iCs w:val="0"/>
          <w:sz w:val="24"/>
          <w:szCs w:val="24"/>
        </w:rPr>
        <w:fldChar w:fldCharType="begin"/>
      </w:r>
      <w:r>
        <w:rPr>
          <w:i w:val="0"/>
          <w:iCs w:val="0"/>
          <w:sz w:val="24"/>
          <w:szCs w:val="24"/>
        </w:rPr>
        <w:instrText xml:space="preserve"> PAGEREF _Toc3788783 </w:instrText>
      </w:r>
      <w:r>
        <w:rPr>
          <w:i w:val="0"/>
          <w:iCs w:val="0"/>
          <w:sz w:val="24"/>
          <w:szCs w:val="24"/>
        </w:rPr>
        <w:fldChar w:fldCharType="separate"/>
      </w:r>
      <w:r>
        <w:rPr>
          <w:i w:val="0"/>
          <w:iCs w:val="0"/>
          <w:sz w:val="24"/>
          <w:szCs w:val="24"/>
        </w:rPr>
        <w:t>24</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_Toc315488715 </w:instrText>
      </w:r>
      <w:r>
        <w:rPr>
          <w:bCs w:val="0"/>
          <w:i w:val="0"/>
          <w:iCs w:val="0"/>
          <w:sz w:val="24"/>
          <w:szCs w:val="24"/>
          <w:highlight w:val="none"/>
        </w:rPr>
        <w:fldChar w:fldCharType="separate"/>
      </w:r>
      <w:r>
        <w:rPr>
          <w:bCs w:val="0"/>
          <w:i w:val="0"/>
          <w:iCs w:val="0"/>
          <w:sz w:val="24"/>
          <w:szCs w:val="24"/>
          <w:highlight w:val="none"/>
        </w:rPr>
        <w:t>4、集成电路</w:t>
      </w:r>
      <w:r>
        <w:rPr>
          <w:i w:val="0"/>
          <w:iCs w:val="0"/>
          <w:sz w:val="24"/>
          <w:szCs w:val="24"/>
        </w:rPr>
        <w:tab/>
      </w:r>
      <w:r>
        <w:rPr>
          <w:i w:val="0"/>
          <w:iCs w:val="0"/>
          <w:sz w:val="24"/>
          <w:szCs w:val="24"/>
        </w:rPr>
        <w:fldChar w:fldCharType="begin"/>
      </w:r>
      <w:r>
        <w:rPr>
          <w:i w:val="0"/>
          <w:iCs w:val="0"/>
          <w:sz w:val="24"/>
          <w:szCs w:val="24"/>
        </w:rPr>
        <w:instrText xml:space="preserve"> PAGEREF _Toc315488715 </w:instrText>
      </w:r>
      <w:r>
        <w:rPr>
          <w:i w:val="0"/>
          <w:iCs w:val="0"/>
          <w:sz w:val="24"/>
          <w:szCs w:val="24"/>
        </w:rPr>
        <w:fldChar w:fldCharType="separate"/>
      </w:r>
      <w:r>
        <w:rPr>
          <w:i w:val="0"/>
          <w:iCs w:val="0"/>
          <w:sz w:val="24"/>
          <w:szCs w:val="24"/>
        </w:rPr>
        <w:t>25</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_Toc340240500 </w:instrText>
      </w:r>
      <w:r>
        <w:rPr>
          <w:bCs w:val="0"/>
          <w:i w:val="0"/>
          <w:iCs w:val="0"/>
          <w:sz w:val="24"/>
          <w:szCs w:val="24"/>
          <w:highlight w:val="none"/>
        </w:rPr>
        <w:fldChar w:fldCharType="separate"/>
      </w:r>
      <w:r>
        <w:rPr>
          <w:rFonts w:eastAsia="楷体_GB2312"/>
          <w:bCs/>
          <w:i w:val="0"/>
          <w:iCs w:val="0"/>
          <w:kern w:val="28"/>
          <w:sz w:val="24"/>
          <w:szCs w:val="24"/>
          <w:highlight w:val="none"/>
        </w:rPr>
        <w:t>（三）多点布局前沿热点产业</w:t>
      </w:r>
      <w:r>
        <w:rPr>
          <w:i w:val="0"/>
          <w:iCs w:val="0"/>
          <w:sz w:val="24"/>
          <w:szCs w:val="24"/>
        </w:rPr>
        <w:tab/>
      </w:r>
      <w:r>
        <w:rPr>
          <w:i w:val="0"/>
          <w:iCs w:val="0"/>
          <w:sz w:val="24"/>
          <w:szCs w:val="24"/>
        </w:rPr>
        <w:fldChar w:fldCharType="begin"/>
      </w:r>
      <w:r>
        <w:rPr>
          <w:i w:val="0"/>
          <w:iCs w:val="0"/>
          <w:sz w:val="24"/>
          <w:szCs w:val="24"/>
        </w:rPr>
        <w:instrText xml:space="preserve"> PAGEREF _Toc340240500 </w:instrText>
      </w:r>
      <w:r>
        <w:rPr>
          <w:i w:val="0"/>
          <w:iCs w:val="0"/>
          <w:sz w:val="24"/>
          <w:szCs w:val="24"/>
        </w:rPr>
        <w:fldChar w:fldCharType="separate"/>
      </w:r>
      <w:r>
        <w:rPr>
          <w:i w:val="0"/>
          <w:iCs w:val="0"/>
          <w:sz w:val="24"/>
          <w:szCs w:val="24"/>
        </w:rPr>
        <w:t>27</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_Toc1240226430 </w:instrText>
      </w:r>
      <w:r>
        <w:rPr>
          <w:bCs w:val="0"/>
          <w:i w:val="0"/>
          <w:iCs w:val="0"/>
          <w:sz w:val="24"/>
          <w:szCs w:val="24"/>
          <w:highlight w:val="none"/>
        </w:rPr>
        <w:fldChar w:fldCharType="separate"/>
      </w:r>
      <w:r>
        <w:rPr>
          <w:rFonts w:hint="eastAsia"/>
          <w:bCs w:val="0"/>
          <w:i w:val="0"/>
          <w:iCs w:val="0"/>
          <w:sz w:val="24"/>
          <w:szCs w:val="24"/>
          <w:highlight w:val="none"/>
          <w:lang w:val="en-US" w:eastAsia="zh-CN"/>
        </w:rPr>
        <w:t>1</w:t>
      </w:r>
      <w:r>
        <w:rPr>
          <w:bCs w:val="0"/>
          <w:i w:val="0"/>
          <w:iCs w:val="0"/>
          <w:sz w:val="24"/>
          <w:szCs w:val="24"/>
          <w:highlight w:val="none"/>
        </w:rPr>
        <w:t>、物联网</w:t>
      </w:r>
      <w:r>
        <w:rPr>
          <w:i w:val="0"/>
          <w:iCs w:val="0"/>
          <w:sz w:val="24"/>
          <w:szCs w:val="24"/>
        </w:rPr>
        <w:tab/>
      </w:r>
      <w:r>
        <w:rPr>
          <w:i w:val="0"/>
          <w:iCs w:val="0"/>
          <w:sz w:val="24"/>
          <w:szCs w:val="24"/>
        </w:rPr>
        <w:fldChar w:fldCharType="begin"/>
      </w:r>
      <w:r>
        <w:rPr>
          <w:i w:val="0"/>
          <w:iCs w:val="0"/>
          <w:sz w:val="24"/>
          <w:szCs w:val="24"/>
        </w:rPr>
        <w:instrText xml:space="preserve"> PAGEREF _Toc1240226430 </w:instrText>
      </w:r>
      <w:r>
        <w:rPr>
          <w:i w:val="0"/>
          <w:iCs w:val="0"/>
          <w:sz w:val="24"/>
          <w:szCs w:val="24"/>
        </w:rPr>
        <w:fldChar w:fldCharType="separate"/>
      </w:r>
      <w:r>
        <w:rPr>
          <w:i w:val="0"/>
          <w:iCs w:val="0"/>
          <w:sz w:val="24"/>
          <w:szCs w:val="24"/>
        </w:rPr>
        <w:t>27</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_Toc851246378 </w:instrText>
      </w:r>
      <w:r>
        <w:rPr>
          <w:bCs w:val="0"/>
          <w:i w:val="0"/>
          <w:iCs w:val="0"/>
          <w:sz w:val="24"/>
          <w:szCs w:val="24"/>
          <w:highlight w:val="none"/>
        </w:rPr>
        <w:fldChar w:fldCharType="separate"/>
      </w:r>
      <w:r>
        <w:rPr>
          <w:rFonts w:hint="eastAsia"/>
          <w:i w:val="0"/>
          <w:iCs w:val="0"/>
          <w:sz w:val="24"/>
          <w:szCs w:val="24"/>
          <w:highlight w:val="none"/>
          <w:lang w:val="en-US" w:eastAsia="zh-CN"/>
        </w:rPr>
        <w:t>2</w:t>
      </w:r>
      <w:r>
        <w:rPr>
          <w:i w:val="0"/>
          <w:iCs w:val="0"/>
          <w:sz w:val="24"/>
          <w:szCs w:val="24"/>
          <w:highlight w:val="none"/>
        </w:rPr>
        <w:t>、人工智能</w:t>
      </w:r>
      <w:r>
        <w:rPr>
          <w:i w:val="0"/>
          <w:iCs w:val="0"/>
          <w:sz w:val="24"/>
          <w:szCs w:val="24"/>
        </w:rPr>
        <w:tab/>
      </w:r>
      <w:r>
        <w:rPr>
          <w:i w:val="0"/>
          <w:iCs w:val="0"/>
          <w:sz w:val="24"/>
          <w:szCs w:val="24"/>
        </w:rPr>
        <w:fldChar w:fldCharType="begin"/>
      </w:r>
      <w:r>
        <w:rPr>
          <w:i w:val="0"/>
          <w:iCs w:val="0"/>
          <w:sz w:val="24"/>
          <w:szCs w:val="24"/>
        </w:rPr>
        <w:instrText xml:space="preserve"> PAGEREF _Toc851246378 </w:instrText>
      </w:r>
      <w:r>
        <w:rPr>
          <w:i w:val="0"/>
          <w:iCs w:val="0"/>
          <w:sz w:val="24"/>
          <w:szCs w:val="24"/>
        </w:rPr>
        <w:fldChar w:fldCharType="separate"/>
      </w:r>
      <w:r>
        <w:rPr>
          <w:i w:val="0"/>
          <w:iCs w:val="0"/>
          <w:sz w:val="24"/>
          <w:szCs w:val="24"/>
        </w:rPr>
        <w:t>29</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_Toc1272095741 </w:instrText>
      </w:r>
      <w:r>
        <w:rPr>
          <w:bCs w:val="0"/>
          <w:i w:val="0"/>
          <w:iCs w:val="0"/>
          <w:sz w:val="24"/>
          <w:szCs w:val="24"/>
          <w:highlight w:val="none"/>
        </w:rPr>
        <w:fldChar w:fldCharType="separate"/>
      </w:r>
      <w:r>
        <w:rPr>
          <w:rFonts w:hint="eastAsia"/>
          <w:bCs w:val="0"/>
          <w:i w:val="0"/>
          <w:iCs w:val="0"/>
          <w:sz w:val="24"/>
          <w:szCs w:val="24"/>
          <w:highlight w:val="none"/>
          <w:lang w:val="en-US" w:eastAsia="zh-CN"/>
        </w:rPr>
        <w:t>3</w:t>
      </w:r>
      <w:r>
        <w:rPr>
          <w:bCs w:val="0"/>
          <w:i w:val="0"/>
          <w:iCs w:val="0"/>
          <w:sz w:val="24"/>
          <w:szCs w:val="24"/>
          <w:highlight w:val="none"/>
        </w:rPr>
        <w:t>、云计算和大数据</w:t>
      </w:r>
      <w:r>
        <w:rPr>
          <w:i w:val="0"/>
          <w:iCs w:val="0"/>
          <w:sz w:val="24"/>
          <w:szCs w:val="24"/>
        </w:rPr>
        <w:tab/>
      </w:r>
      <w:r>
        <w:rPr>
          <w:i w:val="0"/>
          <w:iCs w:val="0"/>
          <w:sz w:val="24"/>
          <w:szCs w:val="24"/>
        </w:rPr>
        <w:fldChar w:fldCharType="begin"/>
      </w:r>
      <w:r>
        <w:rPr>
          <w:i w:val="0"/>
          <w:iCs w:val="0"/>
          <w:sz w:val="24"/>
          <w:szCs w:val="24"/>
        </w:rPr>
        <w:instrText xml:space="preserve"> PAGEREF _Toc1272095741 </w:instrText>
      </w:r>
      <w:r>
        <w:rPr>
          <w:i w:val="0"/>
          <w:iCs w:val="0"/>
          <w:sz w:val="24"/>
          <w:szCs w:val="24"/>
        </w:rPr>
        <w:fldChar w:fldCharType="separate"/>
      </w:r>
      <w:r>
        <w:rPr>
          <w:i w:val="0"/>
          <w:iCs w:val="0"/>
          <w:sz w:val="24"/>
          <w:szCs w:val="24"/>
        </w:rPr>
        <w:t>30</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_Toc566983673 </w:instrText>
      </w:r>
      <w:r>
        <w:rPr>
          <w:bCs w:val="0"/>
          <w:i w:val="0"/>
          <w:iCs w:val="0"/>
          <w:sz w:val="24"/>
          <w:szCs w:val="24"/>
          <w:highlight w:val="none"/>
        </w:rPr>
        <w:fldChar w:fldCharType="separate"/>
      </w:r>
      <w:r>
        <w:rPr>
          <w:rFonts w:eastAsia="楷体_GB2312"/>
          <w:bCs/>
          <w:i w:val="0"/>
          <w:iCs w:val="0"/>
          <w:kern w:val="28"/>
          <w:sz w:val="24"/>
          <w:szCs w:val="24"/>
          <w:highlight w:val="none"/>
        </w:rPr>
        <w:t>（四）积极推动融合领域创新</w:t>
      </w:r>
      <w:r>
        <w:rPr>
          <w:i w:val="0"/>
          <w:iCs w:val="0"/>
          <w:sz w:val="24"/>
          <w:szCs w:val="24"/>
        </w:rPr>
        <w:tab/>
      </w:r>
      <w:r>
        <w:rPr>
          <w:i w:val="0"/>
          <w:iCs w:val="0"/>
          <w:sz w:val="24"/>
          <w:szCs w:val="24"/>
        </w:rPr>
        <w:fldChar w:fldCharType="begin"/>
      </w:r>
      <w:r>
        <w:rPr>
          <w:i w:val="0"/>
          <w:iCs w:val="0"/>
          <w:sz w:val="24"/>
          <w:szCs w:val="24"/>
        </w:rPr>
        <w:instrText xml:space="preserve"> PAGEREF _Toc566983673 </w:instrText>
      </w:r>
      <w:r>
        <w:rPr>
          <w:i w:val="0"/>
          <w:iCs w:val="0"/>
          <w:sz w:val="24"/>
          <w:szCs w:val="24"/>
        </w:rPr>
        <w:fldChar w:fldCharType="separate"/>
      </w:r>
      <w:r>
        <w:rPr>
          <w:i w:val="0"/>
          <w:iCs w:val="0"/>
          <w:sz w:val="24"/>
          <w:szCs w:val="24"/>
        </w:rPr>
        <w:t>31</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_Toc2118886943 </w:instrText>
      </w:r>
      <w:r>
        <w:rPr>
          <w:bCs w:val="0"/>
          <w:i w:val="0"/>
          <w:iCs w:val="0"/>
          <w:sz w:val="24"/>
          <w:szCs w:val="24"/>
          <w:highlight w:val="none"/>
        </w:rPr>
        <w:fldChar w:fldCharType="separate"/>
      </w:r>
      <w:r>
        <w:rPr>
          <w:i w:val="0"/>
          <w:iCs w:val="0"/>
          <w:sz w:val="24"/>
          <w:szCs w:val="24"/>
          <w:highlight w:val="none"/>
        </w:rPr>
        <w:t>1、工业互联网</w:t>
      </w:r>
      <w:r>
        <w:rPr>
          <w:i w:val="0"/>
          <w:iCs w:val="0"/>
          <w:sz w:val="24"/>
          <w:szCs w:val="24"/>
        </w:rPr>
        <w:tab/>
      </w:r>
      <w:r>
        <w:rPr>
          <w:i w:val="0"/>
          <w:iCs w:val="0"/>
          <w:sz w:val="24"/>
          <w:szCs w:val="24"/>
        </w:rPr>
        <w:fldChar w:fldCharType="begin"/>
      </w:r>
      <w:r>
        <w:rPr>
          <w:i w:val="0"/>
          <w:iCs w:val="0"/>
          <w:sz w:val="24"/>
          <w:szCs w:val="24"/>
        </w:rPr>
        <w:instrText xml:space="preserve"> PAGEREF _Toc2118886943 </w:instrText>
      </w:r>
      <w:r>
        <w:rPr>
          <w:i w:val="0"/>
          <w:iCs w:val="0"/>
          <w:sz w:val="24"/>
          <w:szCs w:val="24"/>
        </w:rPr>
        <w:fldChar w:fldCharType="separate"/>
      </w:r>
      <w:r>
        <w:rPr>
          <w:i w:val="0"/>
          <w:iCs w:val="0"/>
          <w:sz w:val="24"/>
          <w:szCs w:val="24"/>
        </w:rPr>
        <w:t>31</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_Toc107163498 </w:instrText>
      </w:r>
      <w:r>
        <w:rPr>
          <w:bCs w:val="0"/>
          <w:i w:val="0"/>
          <w:iCs w:val="0"/>
          <w:sz w:val="24"/>
          <w:szCs w:val="24"/>
          <w:highlight w:val="none"/>
        </w:rPr>
        <w:fldChar w:fldCharType="separate"/>
      </w:r>
      <w:r>
        <w:rPr>
          <w:i w:val="0"/>
          <w:iCs w:val="0"/>
          <w:sz w:val="24"/>
          <w:szCs w:val="24"/>
          <w:highlight w:val="none"/>
        </w:rPr>
        <w:t>2、航空电子</w:t>
      </w:r>
      <w:r>
        <w:rPr>
          <w:i w:val="0"/>
          <w:iCs w:val="0"/>
          <w:sz w:val="24"/>
          <w:szCs w:val="24"/>
        </w:rPr>
        <w:tab/>
      </w:r>
      <w:r>
        <w:rPr>
          <w:i w:val="0"/>
          <w:iCs w:val="0"/>
          <w:sz w:val="24"/>
          <w:szCs w:val="24"/>
        </w:rPr>
        <w:fldChar w:fldCharType="begin"/>
      </w:r>
      <w:r>
        <w:rPr>
          <w:i w:val="0"/>
          <w:iCs w:val="0"/>
          <w:sz w:val="24"/>
          <w:szCs w:val="24"/>
        </w:rPr>
        <w:instrText xml:space="preserve"> PAGEREF _Toc107163498 </w:instrText>
      </w:r>
      <w:r>
        <w:rPr>
          <w:i w:val="0"/>
          <w:iCs w:val="0"/>
          <w:sz w:val="24"/>
          <w:szCs w:val="24"/>
        </w:rPr>
        <w:fldChar w:fldCharType="separate"/>
      </w:r>
      <w:r>
        <w:rPr>
          <w:i w:val="0"/>
          <w:iCs w:val="0"/>
          <w:sz w:val="24"/>
          <w:szCs w:val="24"/>
        </w:rPr>
        <w:t>33</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_Toc644971188 </w:instrText>
      </w:r>
      <w:r>
        <w:rPr>
          <w:bCs w:val="0"/>
          <w:i w:val="0"/>
          <w:iCs w:val="0"/>
          <w:sz w:val="24"/>
          <w:szCs w:val="24"/>
          <w:highlight w:val="none"/>
        </w:rPr>
        <w:fldChar w:fldCharType="separate"/>
      </w:r>
      <w:r>
        <w:rPr>
          <w:i w:val="0"/>
          <w:iCs w:val="0"/>
          <w:sz w:val="24"/>
          <w:szCs w:val="24"/>
          <w:highlight w:val="none"/>
        </w:rPr>
        <w:t>3、汽车电子</w:t>
      </w:r>
      <w:r>
        <w:rPr>
          <w:i w:val="0"/>
          <w:iCs w:val="0"/>
          <w:sz w:val="24"/>
          <w:szCs w:val="24"/>
        </w:rPr>
        <w:tab/>
      </w:r>
      <w:r>
        <w:rPr>
          <w:i w:val="0"/>
          <w:iCs w:val="0"/>
          <w:sz w:val="24"/>
          <w:szCs w:val="24"/>
        </w:rPr>
        <w:fldChar w:fldCharType="begin"/>
      </w:r>
      <w:r>
        <w:rPr>
          <w:i w:val="0"/>
          <w:iCs w:val="0"/>
          <w:sz w:val="24"/>
          <w:szCs w:val="24"/>
        </w:rPr>
        <w:instrText xml:space="preserve"> PAGEREF _Toc644971188 </w:instrText>
      </w:r>
      <w:r>
        <w:rPr>
          <w:i w:val="0"/>
          <w:iCs w:val="0"/>
          <w:sz w:val="24"/>
          <w:szCs w:val="24"/>
        </w:rPr>
        <w:fldChar w:fldCharType="separate"/>
      </w:r>
      <w:r>
        <w:rPr>
          <w:i w:val="0"/>
          <w:iCs w:val="0"/>
          <w:sz w:val="24"/>
          <w:szCs w:val="24"/>
        </w:rPr>
        <w:t>34</w:t>
      </w:r>
      <w:r>
        <w:rPr>
          <w:i w:val="0"/>
          <w:iCs w:val="0"/>
          <w:sz w:val="24"/>
          <w:szCs w:val="24"/>
        </w:rPr>
        <w:fldChar w:fldCharType="end"/>
      </w:r>
      <w:r>
        <w:rPr>
          <w:bCs w:val="0"/>
          <w:i w:val="0"/>
          <w:iCs w:val="0"/>
          <w:color w:val="auto"/>
          <w:sz w:val="24"/>
          <w:szCs w:val="24"/>
          <w:highlight w:val="none"/>
        </w:rPr>
        <w:fldChar w:fldCharType="end"/>
      </w:r>
    </w:p>
    <w:p>
      <w:pPr>
        <w:pStyle w:val="12"/>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_Toc1259202425 </w:instrText>
      </w:r>
      <w:r>
        <w:rPr>
          <w:bCs w:val="0"/>
          <w:i w:val="0"/>
          <w:iCs w:val="0"/>
          <w:sz w:val="24"/>
          <w:szCs w:val="24"/>
          <w:highlight w:val="none"/>
        </w:rPr>
        <w:fldChar w:fldCharType="separate"/>
      </w:r>
      <w:r>
        <w:rPr>
          <w:i w:val="0"/>
          <w:iCs w:val="0"/>
          <w:sz w:val="24"/>
          <w:szCs w:val="24"/>
          <w:highlight w:val="none"/>
        </w:rPr>
        <w:t>4、</w:t>
      </w:r>
      <w:r>
        <w:rPr>
          <w:rFonts w:hint="eastAsia"/>
          <w:i w:val="0"/>
          <w:iCs w:val="0"/>
          <w:sz w:val="24"/>
          <w:szCs w:val="24"/>
          <w:highlight w:val="none"/>
        </w:rPr>
        <w:t>北斗应用</w:t>
      </w:r>
      <w:r>
        <w:rPr>
          <w:i w:val="0"/>
          <w:iCs w:val="0"/>
          <w:sz w:val="24"/>
          <w:szCs w:val="24"/>
        </w:rPr>
        <w:tab/>
      </w:r>
      <w:r>
        <w:rPr>
          <w:i w:val="0"/>
          <w:iCs w:val="0"/>
          <w:sz w:val="24"/>
          <w:szCs w:val="24"/>
        </w:rPr>
        <w:fldChar w:fldCharType="begin"/>
      </w:r>
      <w:r>
        <w:rPr>
          <w:i w:val="0"/>
          <w:iCs w:val="0"/>
          <w:sz w:val="24"/>
          <w:szCs w:val="24"/>
        </w:rPr>
        <w:instrText xml:space="preserve"> PAGEREF _Toc1259202425 </w:instrText>
      </w:r>
      <w:r>
        <w:rPr>
          <w:i w:val="0"/>
          <w:iCs w:val="0"/>
          <w:sz w:val="24"/>
          <w:szCs w:val="24"/>
        </w:rPr>
        <w:fldChar w:fldCharType="separate"/>
      </w:r>
      <w:r>
        <w:rPr>
          <w:i w:val="0"/>
          <w:iCs w:val="0"/>
          <w:sz w:val="24"/>
          <w:szCs w:val="24"/>
        </w:rPr>
        <w:t>36</w:t>
      </w:r>
      <w:r>
        <w:rPr>
          <w:i w:val="0"/>
          <w:iCs w:val="0"/>
          <w:sz w:val="24"/>
          <w:szCs w:val="24"/>
        </w:rPr>
        <w:fldChar w:fldCharType="end"/>
      </w:r>
      <w:r>
        <w:rPr>
          <w:bCs w:val="0"/>
          <w:i w:val="0"/>
          <w:iCs w:val="0"/>
          <w:color w:val="auto"/>
          <w:sz w:val="24"/>
          <w:szCs w:val="24"/>
          <w:highlight w:val="none"/>
        </w:rPr>
        <w:fldChar w:fldCharType="end"/>
      </w:r>
    </w:p>
    <w:p>
      <w:pPr>
        <w:pStyle w:val="18"/>
        <w:keepNext w:val="0"/>
        <w:keepLines w:val="0"/>
        <w:pageBreakBefore w:val="0"/>
        <w:widowControl w:val="0"/>
        <w:tabs>
          <w:tab w:val="right" w:leader="dot" w:pos="8448"/>
        </w:tabs>
        <w:kinsoku/>
        <w:wordWrap/>
        <w:overflowPunct/>
        <w:topLinePunct w:val="0"/>
        <w:autoSpaceDE/>
        <w:autoSpaceDN/>
        <w:bidi w:val="0"/>
        <w:adjustRightInd/>
        <w:snapToGrid/>
        <w:spacing w:before="0" w:after="0"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_Toc1024689451 </w:instrText>
      </w:r>
      <w:r>
        <w:rPr>
          <w:bCs w:val="0"/>
          <w:i w:val="0"/>
          <w:iCs w:val="0"/>
          <w:sz w:val="24"/>
          <w:szCs w:val="24"/>
          <w:highlight w:val="none"/>
        </w:rPr>
        <w:fldChar w:fldCharType="separate"/>
      </w:r>
      <w:r>
        <w:rPr>
          <w:rFonts w:eastAsia="黑体"/>
          <w:bCs/>
          <w:i w:val="0"/>
          <w:iCs w:val="0"/>
          <w:kern w:val="44"/>
          <w:sz w:val="24"/>
          <w:szCs w:val="24"/>
          <w:highlight w:val="none"/>
        </w:rPr>
        <w:t>五、产业布局</w:t>
      </w:r>
      <w:r>
        <w:rPr>
          <w:i w:val="0"/>
          <w:iCs w:val="0"/>
          <w:sz w:val="24"/>
          <w:szCs w:val="24"/>
        </w:rPr>
        <w:tab/>
      </w:r>
      <w:r>
        <w:rPr>
          <w:i w:val="0"/>
          <w:iCs w:val="0"/>
          <w:sz w:val="24"/>
          <w:szCs w:val="24"/>
        </w:rPr>
        <w:fldChar w:fldCharType="begin"/>
      </w:r>
      <w:r>
        <w:rPr>
          <w:i w:val="0"/>
          <w:iCs w:val="0"/>
          <w:sz w:val="24"/>
          <w:szCs w:val="24"/>
        </w:rPr>
        <w:instrText xml:space="preserve"> PAGEREF _Toc1024689451 </w:instrText>
      </w:r>
      <w:r>
        <w:rPr>
          <w:i w:val="0"/>
          <w:iCs w:val="0"/>
          <w:sz w:val="24"/>
          <w:szCs w:val="24"/>
        </w:rPr>
        <w:fldChar w:fldCharType="separate"/>
      </w:r>
      <w:r>
        <w:rPr>
          <w:i w:val="0"/>
          <w:iCs w:val="0"/>
          <w:sz w:val="24"/>
          <w:szCs w:val="24"/>
        </w:rPr>
        <w:t>37</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_Toc247310982 </w:instrText>
      </w:r>
      <w:r>
        <w:rPr>
          <w:bCs w:val="0"/>
          <w:i w:val="0"/>
          <w:iCs w:val="0"/>
          <w:sz w:val="24"/>
          <w:szCs w:val="24"/>
          <w:highlight w:val="none"/>
        </w:rPr>
        <w:fldChar w:fldCharType="separate"/>
      </w:r>
      <w:r>
        <w:rPr>
          <w:rFonts w:eastAsia="楷体_GB2312"/>
          <w:i w:val="0"/>
          <w:iCs w:val="0"/>
          <w:sz w:val="24"/>
          <w:szCs w:val="24"/>
          <w:highlight w:val="none"/>
        </w:rPr>
        <w:t>（一）总体布局</w:t>
      </w:r>
      <w:r>
        <w:rPr>
          <w:i w:val="0"/>
          <w:iCs w:val="0"/>
          <w:sz w:val="24"/>
          <w:szCs w:val="24"/>
        </w:rPr>
        <w:tab/>
      </w:r>
      <w:r>
        <w:rPr>
          <w:i w:val="0"/>
          <w:iCs w:val="0"/>
          <w:sz w:val="24"/>
          <w:szCs w:val="24"/>
        </w:rPr>
        <w:fldChar w:fldCharType="begin"/>
      </w:r>
      <w:r>
        <w:rPr>
          <w:i w:val="0"/>
          <w:iCs w:val="0"/>
          <w:sz w:val="24"/>
          <w:szCs w:val="24"/>
        </w:rPr>
        <w:instrText xml:space="preserve"> PAGEREF _Toc247310982 </w:instrText>
      </w:r>
      <w:r>
        <w:rPr>
          <w:i w:val="0"/>
          <w:iCs w:val="0"/>
          <w:sz w:val="24"/>
          <w:szCs w:val="24"/>
        </w:rPr>
        <w:fldChar w:fldCharType="separate"/>
      </w:r>
      <w:r>
        <w:rPr>
          <w:i w:val="0"/>
          <w:iCs w:val="0"/>
          <w:sz w:val="24"/>
          <w:szCs w:val="24"/>
        </w:rPr>
        <w:t>37</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_Toc604550593 </w:instrText>
      </w:r>
      <w:r>
        <w:rPr>
          <w:bCs w:val="0"/>
          <w:i w:val="0"/>
          <w:iCs w:val="0"/>
          <w:sz w:val="24"/>
          <w:szCs w:val="24"/>
          <w:highlight w:val="none"/>
        </w:rPr>
        <w:fldChar w:fldCharType="separate"/>
      </w:r>
      <w:r>
        <w:rPr>
          <w:rFonts w:eastAsia="楷体_GB2312"/>
          <w:i w:val="0"/>
          <w:iCs w:val="0"/>
          <w:sz w:val="24"/>
          <w:szCs w:val="24"/>
          <w:highlight w:val="none"/>
        </w:rPr>
        <w:t>（二）各区县布局</w:t>
      </w:r>
      <w:r>
        <w:rPr>
          <w:i w:val="0"/>
          <w:iCs w:val="0"/>
          <w:sz w:val="24"/>
          <w:szCs w:val="24"/>
        </w:rPr>
        <w:tab/>
      </w:r>
      <w:r>
        <w:rPr>
          <w:i w:val="0"/>
          <w:iCs w:val="0"/>
          <w:sz w:val="24"/>
          <w:szCs w:val="24"/>
        </w:rPr>
        <w:fldChar w:fldCharType="begin"/>
      </w:r>
      <w:r>
        <w:rPr>
          <w:i w:val="0"/>
          <w:iCs w:val="0"/>
          <w:sz w:val="24"/>
          <w:szCs w:val="24"/>
        </w:rPr>
        <w:instrText xml:space="preserve"> PAGEREF _Toc604550593 </w:instrText>
      </w:r>
      <w:r>
        <w:rPr>
          <w:i w:val="0"/>
          <w:iCs w:val="0"/>
          <w:sz w:val="24"/>
          <w:szCs w:val="24"/>
        </w:rPr>
        <w:fldChar w:fldCharType="separate"/>
      </w:r>
      <w:r>
        <w:rPr>
          <w:i w:val="0"/>
          <w:iCs w:val="0"/>
          <w:sz w:val="24"/>
          <w:szCs w:val="24"/>
        </w:rPr>
        <w:t>38</w:t>
      </w:r>
      <w:r>
        <w:rPr>
          <w:i w:val="0"/>
          <w:iCs w:val="0"/>
          <w:sz w:val="24"/>
          <w:szCs w:val="24"/>
        </w:rPr>
        <w:fldChar w:fldCharType="end"/>
      </w:r>
      <w:r>
        <w:rPr>
          <w:bCs w:val="0"/>
          <w:i w:val="0"/>
          <w:iCs w:val="0"/>
          <w:color w:val="auto"/>
          <w:sz w:val="24"/>
          <w:szCs w:val="24"/>
          <w:highlight w:val="none"/>
        </w:rPr>
        <w:fldChar w:fldCharType="end"/>
      </w:r>
    </w:p>
    <w:p>
      <w:pPr>
        <w:pStyle w:val="18"/>
        <w:keepNext w:val="0"/>
        <w:keepLines w:val="0"/>
        <w:pageBreakBefore w:val="0"/>
        <w:widowControl w:val="0"/>
        <w:tabs>
          <w:tab w:val="right" w:leader="dot" w:pos="8448"/>
        </w:tabs>
        <w:kinsoku/>
        <w:wordWrap/>
        <w:overflowPunct/>
        <w:topLinePunct w:val="0"/>
        <w:autoSpaceDE/>
        <w:autoSpaceDN/>
        <w:bidi w:val="0"/>
        <w:adjustRightInd/>
        <w:snapToGrid/>
        <w:spacing w:before="0" w:after="0"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_Toc1169595271 </w:instrText>
      </w:r>
      <w:r>
        <w:rPr>
          <w:bCs w:val="0"/>
          <w:i w:val="0"/>
          <w:iCs w:val="0"/>
          <w:sz w:val="24"/>
          <w:szCs w:val="24"/>
          <w:highlight w:val="none"/>
        </w:rPr>
        <w:fldChar w:fldCharType="separate"/>
      </w:r>
      <w:r>
        <w:rPr>
          <w:rFonts w:eastAsia="黑体"/>
          <w:bCs/>
          <w:i w:val="0"/>
          <w:iCs w:val="0"/>
          <w:kern w:val="44"/>
          <w:sz w:val="24"/>
          <w:szCs w:val="24"/>
          <w:highlight w:val="none"/>
        </w:rPr>
        <w:t>六、重大工程</w:t>
      </w:r>
      <w:r>
        <w:rPr>
          <w:i w:val="0"/>
          <w:iCs w:val="0"/>
          <w:sz w:val="24"/>
          <w:szCs w:val="24"/>
        </w:rPr>
        <w:tab/>
      </w:r>
      <w:r>
        <w:rPr>
          <w:i w:val="0"/>
          <w:iCs w:val="0"/>
          <w:sz w:val="24"/>
          <w:szCs w:val="24"/>
        </w:rPr>
        <w:fldChar w:fldCharType="begin"/>
      </w:r>
      <w:r>
        <w:rPr>
          <w:i w:val="0"/>
          <w:iCs w:val="0"/>
          <w:sz w:val="24"/>
          <w:szCs w:val="24"/>
        </w:rPr>
        <w:instrText xml:space="preserve"> PAGEREF _Toc1169595271 </w:instrText>
      </w:r>
      <w:r>
        <w:rPr>
          <w:i w:val="0"/>
          <w:iCs w:val="0"/>
          <w:sz w:val="24"/>
          <w:szCs w:val="24"/>
        </w:rPr>
        <w:fldChar w:fldCharType="separate"/>
      </w:r>
      <w:r>
        <w:rPr>
          <w:i w:val="0"/>
          <w:iCs w:val="0"/>
          <w:sz w:val="24"/>
          <w:szCs w:val="24"/>
        </w:rPr>
        <w:t>39</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_Toc385108858 </w:instrText>
      </w:r>
      <w:r>
        <w:rPr>
          <w:bCs w:val="0"/>
          <w:i w:val="0"/>
          <w:iCs w:val="0"/>
          <w:sz w:val="24"/>
          <w:szCs w:val="24"/>
          <w:highlight w:val="none"/>
        </w:rPr>
        <w:fldChar w:fldCharType="separate"/>
      </w:r>
      <w:r>
        <w:rPr>
          <w:rFonts w:ascii="Times New Roman" w:hAnsi="Times New Roman" w:eastAsia="楷体_GB2312"/>
          <w:i w:val="0"/>
          <w:iCs w:val="0"/>
          <w:sz w:val="24"/>
          <w:szCs w:val="24"/>
          <w:highlight w:val="none"/>
        </w:rPr>
        <w:t>（一）产业集群打造工程</w:t>
      </w:r>
      <w:r>
        <w:rPr>
          <w:i w:val="0"/>
          <w:iCs w:val="0"/>
          <w:sz w:val="24"/>
          <w:szCs w:val="24"/>
        </w:rPr>
        <w:tab/>
      </w:r>
      <w:r>
        <w:rPr>
          <w:i w:val="0"/>
          <w:iCs w:val="0"/>
          <w:sz w:val="24"/>
          <w:szCs w:val="24"/>
        </w:rPr>
        <w:fldChar w:fldCharType="begin"/>
      </w:r>
      <w:r>
        <w:rPr>
          <w:i w:val="0"/>
          <w:iCs w:val="0"/>
          <w:sz w:val="24"/>
          <w:szCs w:val="24"/>
        </w:rPr>
        <w:instrText xml:space="preserve"> PAGEREF _Toc385108858 </w:instrText>
      </w:r>
      <w:r>
        <w:rPr>
          <w:i w:val="0"/>
          <w:iCs w:val="0"/>
          <w:sz w:val="24"/>
          <w:szCs w:val="24"/>
        </w:rPr>
        <w:fldChar w:fldCharType="separate"/>
      </w:r>
      <w:r>
        <w:rPr>
          <w:i w:val="0"/>
          <w:iCs w:val="0"/>
          <w:sz w:val="24"/>
          <w:szCs w:val="24"/>
        </w:rPr>
        <w:t>39</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_Toc920445235 </w:instrText>
      </w:r>
      <w:r>
        <w:rPr>
          <w:bCs w:val="0"/>
          <w:i w:val="0"/>
          <w:iCs w:val="0"/>
          <w:sz w:val="24"/>
          <w:szCs w:val="24"/>
          <w:highlight w:val="none"/>
        </w:rPr>
        <w:fldChar w:fldCharType="separate"/>
      </w:r>
      <w:r>
        <w:rPr>
          <w:rFonts w:eastAsia="楷体_GB2312"/>
          <w:bCs/>
          <w:i w:val="0"/>
          <w:iCs w:val="0"/>
          <w:kern w:val="28"/>
          <w:sz w:val="24"/>
          <w:szCs w:val="24"/>
          <w:highlight w:val="none"/>
        </w:rPr>
        <w:t>（二）龙头企业引培工程</w:t>
      </w:r>
      <w:r>
        <w:rPr>
          <w:i w:val="0"/>
          <w:iCs w:val="0"/>
          <w:sz w:val="24"/>
          <w:szCs w:val="24"/>
        </w:rPr>
        <w:tab/>
      </w:r>
      <w:r>
        <w:rPr>
          <w:i w:val="0"/>
          <w:iCs w:val="0"/>
          <w:sz w:val="24"/>
          <w:szCs w:val="24"/>
        </w:rPr>
        <w:fldChar w:fldCharType="begin"/>
      </w:r>
      <w:r>
        <w:rPr>
          <w:i w:val="0"/>
          <w:iCs w:val="0"/>
          <w:sz w:val="24"/>
          <w:szCs w:val="24"/>
        </w:rPr>
        <w:instrText xml:space="preserve"> PAGEREF _Toc920445235 </w:instrText>
      </w:r>
      <w:r>
        <w:rPr>
          <w:i w:val="0"/>
          <w:iCs w:val="0"/>
          <w:sz w:val="24"/>
          <w:szCs w:val="24"/>
        </w:rPr>
        <w:fldChar w:fldCharType="separate"/>
      </w:r>
      <w:r>
        <w:rPr>
          <w:i w:val="0"/>
          <w:iCs w:val="0"/>
          <w:sz w:val="24"/>
          <w:szCs w:val="24"/>
        </w:rPr>
        <w:t>41</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_Toc498339770 </w:instrText>
      </w:r>
      <w:r>
        <w:rPr>
          <w:bCs w:val="0"/>
          <w:i w:val="0"/>
          <w:iCs w:val="0"/>
          <w:sz w:val="24"/>
          <w:szCs w:val="24"/>
          <w:highlight w:val="none"/>
        </w:rPr>
        <w:fldChar w:fldCharType="separate"/>
      </w:r>
      <w:r>
        <w:rPr>
          <w:rFonts w:ascii="Times New Roman" w:hAnsi="Times New Roman" w:eastAsia="楷体_GB2312"/>
          <w:i w:val="0"/>
          <w:iCs w:val="0"/>
          <w:sz w:val="24"/>
          <w:szCs w:val="24"/>
          <w:highlight w:val="none"/>
        </w:rPr>
        <w:t>（三）创新能力提升工程</w:t>
      </w:r>
      <w:r>
        <w:rPr>
          <w:i w:val="0"/>
          <w:iCs w:val="0"/>
          <w:sz w:val="24"/>
          <w:szCs w:val="24"/>
        </w:rPr>
        <w:tab/>
      </w:r>
      <w:r>
        <w:rPr>
          <w:i w:val="0"/>
          <w:iCs w:val="0"/>
          <w:sz w:val="24"/>
          <w:szCs w:val="24"/>
        </w:rPr>
        <w:fldChar w:fldCharType="begin"/>
      </w:r>
      <w:r>
        <w:rPr>
          <w:i w:val="0"/>
          <w:iCs w:val="0"/>
          <w:sz w:val="24"/>
          <w:szCs w:val="24"/>
        </w:rPr>
        <w:instrText xml:space="preserve"> PAGEREF _Toc498339770 </w:instrText>
      </w:r>
      <w:r>
        <w:rPr>
          <w:i w:val="0"/>
          <w:iCs w:val="0"/>
          <w:sz w:val="24"/>
          <w:szCs w:val="24"/>
        </w:rPr>
        <w:fldChar w:fldCharType="separate"/>
      </w:r>
      <w:r>
        <w:rPr>
          <w:i w:val="0"/>
          <w:iCs w:val="0"/>
          <w:sz w:val="24"/>
          <w:szCs w:val="24"/>
        </w:rPr>
        <w:t>42</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_Toc1095711230 </w:instrText>
      </w:r>
      <w:r>
        <w:rPr>
          <w:bCs w:val="0"/>
          <w:i w:val="0"/>
          <w:iCs w:val="0"/>
          <w:sz w:val="24"/>
          <w:szCs w:val="24"/>
          <w:highlight w:val="none"/>
        </w:rPr>
        <w:fldChar w:fldCharType="separate"/>
      </w:r>
      <w:r>
        <w:rPr>
          <w:rFonts w:eastAsia="楷体_GB2312"/>
          <w:bCs/>
          <w:i w:val="0"/>
          <w:iCs w:val="0"/>
          <w:kern w:val="28"/>
          <w:sz w:val="24"/>
          <w:szCs w:val="24"/>
          <w:highlight w:val="none"/>
        </w:rPr>
        <w:t>（</w:t>
      </w:r>
      <w:r>
        <w:rPr>
          <w:rFonts w:hint="eastAsia" w:eastAsia="楷体_GB2312"/>
          <w:bCs/>
          <w:i w:val="0"/>
          <w:iCs w:val="0"/>
          <w:kern w:val="28"/>
          <w:sz w:val="24"/>
          <w:szCs w:val="24"/>
          <w:highlight w:val="none"/>
          <w:lang w:eastAsia="zh-CN"/>
        </w:rPr>
        <w:t>四</w:t>
      </w:r>
      <w:r>
        <w:rPr>
          <w:rFonts w:eastAsia="楷体_GB2312"/>
          <w:bCs/>
          <w:i w:val="0"/>
          <w:iCs w:val="0"/>
          <w:kern w:val="28"/>
          <w:sz w:val="24"/>
          <w:szCs w:val="24"/>
          <w:highlight w:val="none"/>
        </w:rPr>
        <w:t>）人才引进支撑工程</w:t>
      </w:r>
      <w:r>
        <w:rPr>
          <w:i w:val="0"/>
          <w:iCs w:val="0"/>
          <w:sz w:val="24"/>
          <w:szCs w:val="24"/>
        </w:rPr>
        <w:tab/>
      </w:r>
      <w:r>
        <w:rPr>
          <w:i w:val="0"/>
          <w:iCs w:val="0"/>
          <w:sz w:val="24"/>
          <w:szCs w:val="24"/>
        </w:rPr>
        <w:fldChar w:fldCharType="begin"/>
      </w:r>
      <w:r>
        <w:rPr>
          <w:i w:val="0"/>
          <w:iCs w:val="0"/>
          <w:sz w:val="24"/>
          <w:szCs w:val="24"/>
        </w:rPr>
        <w:instrText xml:space="preserve"> PAGEREF _Toc1095711230 </w:instrText>
      </w:r>
      <w:r>
        <w:rPr>
          <w:i w:val="0"/>
          <w:iCs w:val="0"/>
          <w:sz w:val="24"/>
          <w:szCs w:val="24"/>
        </w:rPr>
        <w:fldChar w:fldCharType="separate"/>
      </w:r>
      <w:r>
        <w:rPr>
          <w:i w:val="0"/>
          <w:iCs w:val="0"/>
          <w:sz w:val="24"/>
          <w:szCs w:val="24"/>
        </w:rPr>
        <w:t>43</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_Toc1975877399 </w:instrText>
      </w:r>
      <w:r>
        <w:rPr>
          <w:bCs w:val="0"/>
          <w:i w:val="0"/>
          <w:iCs w:val="0"/>
          <w:sz w:val="24"/>
          <w:szCs w:val="24"/>
          <w:highlight w:val="none"/>
        </w:rPr>
        <w:fldChar w:fldCharType="separate"/>
      </w:r>
      <w:r>
        <w:rPr>
          <w:rFonts w:eastAsia="楷体_GB2312"/>
          <w:bCs/>
          <w:i w:val="0"/>
          <w:iCs w:val="0"/>
          <w:kern w:val="28"/>
          <w:sz w:val="24"/>
          <w:szCs w:val="24"/>
          <w:highlight w:val="none"/>
        </w:rPr>
        <w:t>（</w:t>
      </w:r>
      <w:r>
        <w:rPr>
          <w:rFonts w:hint="eastAsia" w:eastAsia="楷体_GB2312"/>
          <w:bCs/>
          <w:i w:val="0"/>
          <w:iCs w:val="0"/>
          <w:kern w:val="28"/>
          <w:sz w:val="24"/>
          <w:szCs w:val="24"/>
          <w:highlight w:val="none"/>
          <w:lang w:eastAsia="zh-CN"/>
        </w:rPr>
        <w:t>五</w:t>
      </w:r>
      <w:r>
        <w:rPr>
          <w:rFonts w:eastAsia="楷体_GB2312"/>
          <w:bCs/>
          <w:i w:val="0"/>
          <w:iCs w:val="0"/>
          <w:kern w:val="28"/>
          <w:sz w:val="24"/>
          <w:szCs w:val="24"/>
          <w:highlight w:val="none"/>
        </w:rPr>
        <w:t>）公共服务优化工程</w:t>
      </w:r>
      <w:r>
        <w:rPr>
          <w:i w:val="0"/>
          <w:iCs w:val="0"/>
          <w:sz w:val="24"/>
          <w:szCs w:val="24"/>
        </w:rPr>
        <w:tab/>
      </w:r>
      <w:r>
        <w:rPr>
          <w:i w:val="0"/>
          <w:iCs w:val="0"/>
          <w:sz w:val="24"/>
          <w:szCs w:val="24"/>
        </w:rPr>
        <w:fldChar w:fldCharType="begin"/>
      </w:r>
      <w:r>
        <w:rPr>
          <w:i w:val="0"/>
          <w:iCs w:val="0"/>
          <w:sz w:val="24"/>
          <w:szCs w:val="24"/>
        </w:rPr>
        <w:instrText xml:space="preserve"> PAGEREF _Toc1975877399 </w:instrText>
      </w:r>
      <w:r>
        <w:rPr>
          <w:i w:val="0"/>
          <w:iCs w:val="0"/>
          <w:sz w:val="24"/>
          <w:szCs w:val="24"/>
        </w:rPr>
        <w:fldChar w:fldCharType="separate"/>
      </w:r>
      <w:r>
        <w:rPr>
          <w:i w:val="0"/>
          <w:iCs w:val="0"/>
          <w:sz w:val="24"/>
          <w:szCs w:val="24"/>
        </w:rPr>
        <w:t>44</w:t>
      </w:r>
      <w:r>
        <w:rPr>
          <w:i w:val="0"/>
          <w:iCs w:val="0"/>
          <w:sz w:val="24"/>
          <w:szCs w:val="24"/>
        </w:rPr>
        <w:fldChar w:fldCharType="end"/>
      </w:r>
      <w:r>
        <w:rPr>
          <w:bCs w:val="0"/>
          <w:i w:val="0"/>
          <w:iCs w:val="0"/>
          <w:color w:val="auto"/>
          <w:sz w:val="24"/>
          <w:szCs w:val="24"/>
          <w:highlight w:val="none"/>
        </w:rPr>
        <w:fldChar w:fldCharType="end"/>
      </w:r>
    </w:p>
    <w:p>
      <w:pPr>
        <w:pStyle w:val="18"/>
        <w:keepNext w:val="0"/>
        <w:keepLines w:val="0"/>
        <w:pageBreakBefore w:val="0"/>
        <w:widowControl w:val="0"/>
        <w:tabs>
          <w:tab w:val="right" w:leader="dot" w:pos="8448"/>
        </w:tabs>
        <w:kinsoku/>
        <w:wordWrap/>
        <w:overflowPunct/>
        <w:topLinePunct w:val="0"/>
        <w:autoSpaceDE/>
        <w:autoSpaceDN/>
        <w:bidi w:val="0"/>
        <w:adjustRightInd/>
        <w:snapToGrid/>
        <w:spacing w:before="0" w:after="0"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_Toc1841236175 </w:instrText>
      </w:r>
      <w:r>
        <w:rPr>
          <w:bCs w:val="0"/>
          <w:i w:val="0"/>
          <w:iCs w:val="0"/>
          <w:sz w:val="24"/>
          <w:szCs w:val="24"/>
          <w:highlight w:val="none"/>
        </w:rPr>
        <w:fldChar w:fldCharType="separate"/>
      </w:r>
      <w:r>
        <w:rPr>
          <w:rFonts w:eastAsia="黑体"/>
          <w:bCs/>
          <w:i w:val="0"/>
          <w:iCs w:val="0"/>
          <w:kern w:val="44"/>
          <w:sz w:val="24"/>
          <w:szCs w:val="24"/>
          <w:highlight w:val="none"/>
        </w:rPr>
        <w:t>七、保障措施</w:t>
      </w:r>
      <w:r>
        <w:rPr>
          <w:i w:val="0"/>
          <w:iCs w:val="0"/>
          <w:sz w:val="24"/>
          <w:szCs w:val="24"/>
        </w:rPr>
        <w:tab/>
      </w:r>
      <w:r>
        <w:rPr>
          <w:i w:val="0"/>
          <w:iCs w:val="0"/>
          <w:sz w:val="24"/>
          <w:szCs w:val="24"/>
        </w:rPr>
        <w:fldChar w:fldCharType="begin"/>
      </w:r>
      <w:r>
        <w:rPr>
          <w:i w:val="0"/>
          <w:iCs w:val="0"/>
          <w:sz w:val="24"/>
          <w:szCs w:val="24"/>
        </w:rPr>
        <w:instrText xml:space="preserve"> PAGEREF _Toc1841236175 </w:instrText>
      </w:r>
      <w:r>
        <w:rPr>
          <w:i w:val="0"/>
          <w:iCs w:val="0"/>
          <w:sz w:val="24"/>
          <w:szCs w:val="24"/>
        </w:rPr>
        <w:fldChar w:fldCharType="separate"/>
      </w:r>
      <w:r>
        <w:rPr>
          <w:i w:val="0"/>
          <w:iCs w:val="0"/>
          <w:sz w:val="24"/>
          <w:szCs w:val="24"/>
        </w:rPr>
        <w:t>45</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_Toc1194215057 </w:instrText>
      </w:r>
      <w:r>
        <w:rPr>
          <w:bCs w:val="0"/>
          <w:i w:val="0"/>
          <w:iCs w:val="0"/>
          <w:sz w:val="24"/>
          <w:szCs w:val="24"/>
          <w:highlight w:val="none"/>
        </w:rPr>
        <w:fldChar w:fldCharType="separate"/>
      </w:r>
      <w:r>
        <w:rPr>
          <w:rFonts w:eastAsia="楷体_GB2312"/>
          <w:bCs/>
          <w:i w:val="0"/>
          <w:iCs w:val="0"/>
          <w:kern w:val="28"/>
          <w:sz w:val="24"/>
          <w:szCs w:val="24"/>
          <w:highlight w:val="none"/>
        </w:rPr>
        <w:t>（一）加强统筹协调力度</w:t>
      </w:r>
      <w:r>
        <w:rPr>
          <w:i w:val="0"/>
          <w:iCs w:val="0"/>
          <w:sz w:val="24"/>
          <w:szCs w:val="24"/>
        </w:rPr>
        <w:tab/>
      </w:r>
      <w:r>
        <w:rPr>
          <w:i w:val="0"/>
          <w:iCs w:val="0"/>
          <w:sz w:val="24"/>
          <w:szCs w:val="24"/>
        </w:rPr>
        <w:fldChar w:fldCharType="begin"/>
      </w:r>
      <w:r>
        <w:rPr>
          <w:i w:val="0"/>
          <w:iCs w:val="0"/>
          <w:sz w:val="24"/>
          <w:szCs w:val="24"/>
        </w:rPr>
        <w:instrText xml:space="preserve"> PAGEREF _Toc1194215057 </w:instrText>
      </w:r>
      <w:r>
        <w:rPr>
          <w:i w:val="0"/>
          <w:iCs w:val="0"/>
          <w:sz w:val="24"/>
          <w:szCs w:val="24"/>
        </w:rPr>
        <w:fldChar w:fldCharType="separate"/>
      </w:r>
      <w:r>
        <w:rPr>
          <w:i w:val="0"/>
          <w:iCs w:val="0"/>
          <w:sz w:val="24"/>
          <w:szCs w:val="24"/>
        </w:rPr>
        <w:t>45</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_Toc122874183 </w:instrText>
      </w:r>
      <w:r>
        <w:rPr>
          <w:bCs w:val="0"/>
          <w:i w:val="0"/>
          <w:iCs w:val="0"/>
          <w:sz w:val="24"/>
          <w:szCs w:val="24"/>
          <w:highlight w:val="none"/>
        </w:rPr>
        <w:fldChar w:fldCharType="separate"/>
      </w:r>
      <w:r>
        <w:rPr>
          <w:rFonts w:eastAsia="楷体_GB2312"/>
          <w:bCs/>
          <w:i w:val="0"/>
          <w:iCs w:val="0"/>
          <w:kern w:val="28"/>
          <w:sz w:val="24"/>
          <w:szCs w:val="24"/>
          <w:highlight w:val="none"/>
        </w:rPr>
        <w:t>（二）优化企业营商环境</w:t>
      </w:r>
      <w:r>
        <w:rPr>
          <w:i w:val="0"/>
          <w:iCs w:val="0"/>
          <w:sz w:val="24"/>
          <w:szCs w:val="24"/>
        </w:rPr>
        <w:tab/>
      </w:r>
      <w:r>
        <w:rPr>
          <w:i w:val="0"/>
          <w:iCs w:val="0"/>
          <w:sz w:val="24"/>
          <w:szCs w:val="24"/>
        </w:rPr>
        <w:fldChar w:fldCharType="begin"/>
      </w:r>
      <w:r>
        <w:rPr>
          <w:i w:val="0"/>
          <w:iCs w:val="0"/>
          <w:sz w:val="24"/>
          <w:szCs w:val="24"/>
        </w:rPr>
        <w:instrText xml:space="preserve"> PAGEREF _Toc122874183 </w:instrText>
      </w:r>
      <w:r>
        <w:rPr>
          <w:i w:val="0"/>
          <w:iCs w:val="0"/>
          <w:sz w:val="24"/>
          <w:szCs w:val="24"/>
        </w:rPr>
        <w:fldChar w:fldCharType="separate"/>
      </w:r>
      <w:r>
        <w:rPr>
          <w:i w:val="0"/>
          <w:iCs w:val="0"/>
          <w:sz w:val="24"/>
          <w:szCs w:val="24"/>
        </w:rPr>
        <w:t>46</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_Toc515450509 </w:instrText>
      </w:r>
      <w:r>
        <w:rPr>
          <w:bCs w:val="0"/>
          <w:i w:val="0"/>
          <w:iCs w:val="0"/>
          <w:sz w:val="24"/>
          <w:szCs w:val="24"/>
          <w:highlight w:val="none"/>
        </w:rPr>
        <w:fldChar w:fldCharType="separate"/>
      </w:r>
      <w:r>
        <w:rPr>
          <w:rFonts w:eastAsia="楷体_GB2312"/>
          <w:bCs/>
          <w:i w:val="0"/>
          <w:iCs w:val="0"/>
          <w:kern w:val="28"/>
          <w:sz w:val="24"/>
          <w:szCs w:val="24"/>
          <w:highlight w:val="none"/>
        </w:rPr>
        <w:t>（三）加快产城融合发展</w:t>
      </w:r>
      <w:r>
        <w:rPr>
          <w:i w:val="0"/>
          <w:iCs w:val="0"/>
          <w:sz w:val="24"/>
          <w:szCs w:val="24"/>
        </w:rPr>
        <w:tab/>
      </w:r>
      <w:r>
        <w:rPr>
          <w:i w:val="0"/>
          <w:iCs w:val="0"/>
          <w:sz w:val="24"/>
          <w:szCs w:val="24"/>
        </w:rPr>
        <w:fldChar w:fldCharType="begin"/>
      </w:r>
      <w:r>
        <w:rPr>
          <w:i w:val="0"/>
          <w:iCs w:val="0"/>
          <w:sz w:val="24"/>
          <w:szCs w:val="24"/>
        </w:rPr>
        <w:instrText xml:space="preserve"> PAGEREF _Toc515450509 </w:instrText>
      </w:r>
      <w:r>
        <w:rPr>
          <w:i w:val="0"/>
          <w:iCs w:val="0"/>
          <w:sz w:val="24"/>
          <w:szCs w:val="24"/>
        </w:rPr>
        <w:fldChar w:fldCharType="separate"/>
      </w:r>
      <w:r>
        <w:rPr>
          <w:i w:val="0"/>
          <w:iCs w:val="0"/>
          <w:sz w:val="24"/>
          <w:szCs w:val="24"/>
        </w:rPr>
        <w:t>47</w:t>
      </w:r>
      <w:r>
        <w:rPr>
          <w:i w:val="0"/>
          <w:iCs w:val="0"/>
          <w:sz w:val="24"/>
          <w:szCs w:val="24"/>
        </w:rPr>
        <w:fldChar w:fldCharType="end"/>
      </w:r>
      <w:r>
        <w:rPr>
          <w:bCs w:val="0"/>
          <w:i w:val="0"/>
          <w:iCs w:val="0"/>
          <w:color w:val="auto"/>
          <w:sz w:val="24"/>
          <w:szCs w:val="24"/>
          <w:highlight w:val="none"/>
        </w:rPr>
        <w:fldChar w:fldCharType="end"/>
      </w:r>
    </w:p>
    <w:p>
      <w:pPr>
        <w:pStyle w:val="23"/>
        <w:keepNext w:val="0"/>
        <w:keepLines w:val="0"/>
        <w:pageBreakBefore w:val="0"/>
        <w:widowControl w:val="0"/>
        <w:tabs>
          <w:tab w:val="right" w:leader="dot" w:pos="8448"/>
        </w:tabs>
        <w:kinsoku/>
        <w:wordWrap/>
        <w:overflowPunct/>
        <w:topLinePunct w:val="0"/>
        <w:autoSpaceDE/>
        <w:autoSpaceDN/>
        <w:bidi w:val="0"/>
        <w:adjustRightInd/>
        <w:snapToGrid/>
        <w:spacing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_Toc48556340 </w:instrText>
      </w:r>
      <w:r>
        <w:rPr>
          <w:bCs w:val="0"/>
          <w:i w:val="0"/>
          <w:iCs w:val="0"/>
          <w:sz w:val="24"/>
          <w:szCs w:val="24"/>
          <w:highlight w:val="none"/>
        </w:rPr>
        <w:fldChar w:fldCharType="separate"/>
      </w:r>
      <w:r>
        <w:rPr>
          <w:rFonts w:eastAsia="楷体_GB2312"/>
          <w:bCs/>
          <w:i w:val="0"/>
          <w:iCs w:val="0"/>
          <w:kern w:val="28"/>
          <w:sz w:val="24"/>
          <w:szCs w:val="24"/>
          <w:highlight w:val="none"/>
        </w:rPr>
        <w:t>（</w:t>
      </w:r>
      <w:r>
        <w:rPr>
          <w:rFonts w:hint="eastAsia" w:eastAsia="楷体_GB2312"/>
          <w:bCs/>
          <w:i w:val="0"/>
          <w:iCs w:val="0"/>
          <w:kern w:val="28"/>
          <w:sz w:val="24"/>
          <w:szCs w:val="24"/>
          <w:highlight w:val="none"/>
        </w:rPr>
        <w:t>四</w:t>
      </w:r>
      <w:r>
        <w:rPr>
          <w:rFonts w:eastAsia="楷体_GB2312"/>
          <w:bCs/>
          <w:i w:val="0"/>
          <w:iCs w:val="0"/>
          <w:kern w:val="28"/>
          <w:sz w:val="24"/>
          <w:szCs w:val="24"/>
          <w:highlight w:val="none"/>
        </w:rPr>
        <w:t>）发挥央地联动效应</w:t>
      </w:r>
      <w:r>
        <w:rPr>
          <w:i w:val="0"/>
          <w:iCs w:val="0"/>
          <w:sz w:val="24"/>
          <w:szCs w:val="24"/>
        </w:rPr>
        <w:tab/>
      </w:r>
      <w:r>
        <w:rPr>
          <w:i w:val="0"/>
          <w:iCs w:val="0"/>
          <w:sz w:val="24"/>
          <w:szCs w:val="24"/>
        </w:rPr>
        <w:fldChar w:fldCharType="begin"/>
      </w:r>
      <w:r>
        <w:rPr>
          <w:i w:val="0"/>
          <w:iCs w:val="0"/>
          <w:sz w:val="24"/>
          <w:szCs w:val="24"/>
        </w:rPr>
        <w:instrText xml:space="preserve"> PAGEREF _Toc48556340 </w:instrText>
      </w:r>
      <w:r>
        <w:rPr>
          <w:i w:val="0"/>
          <w:iCs w:val="0"/>
          <w:sz w:val="24"/>
          <w:szCs w:val="24"/>
        </w:rPr>
        <w:fldChar w:fldCharType="separate"/>
      </w:r>
      <w:r>
        <w:rPr>
          <w:i w:val="0"/>
          <w:iCs w:val="0"/>
          <w:sz w:val="24"/>
          <w:szCs w:val="24"/>
        </w:rPr>
        <w:t>47</w:t>
      </w:r>
      <w:r>
        <w:rPr>
          <w:i w:val="0"/>
          <w:iCs w:val="0"/>
          <w:sz w:val="24"/>
          <w:szCs w:val="24"/>
        </w:rPr>
        <w:fldChar w:fldCharType="end"/>
      </w:r>
      <w:r>
        <w:rPr>
          <w:bCs w:val="0"/>
          <w:i w:val="0"/>
          <w:iCs w:val="0"/>
          <w:color w:val="auto"/>
          <w:sz w:val="24"/>
          <w:szCs w:val="24"/>
          <w:highlight w:val="none"/>
        </w:rPr>
        <w:fldChar w:fldCharType="end"/>
      </w:r>
    </w:p>
    <w:p>
      <w:pPr>
        <w:pStyle w:val="18"/>
        <w:keepNext w:val="0"/>
        <w:keepLines w:val="0"/>
        <w:pageBreakBefore w:val="0"/>
        <w:widowControl w:val="0"/>
        <w:tabs>
          <w:tab w:val="right" w:leader="dot" w:pos="8448"/>
        </w:tabs>
        <w:kinsoku/>
        <w:wordWrap/>
        <w:overflowPunct/>
        <w:topLinePunct w:val="0"/>
        <w:autoSpaceDE/>
        <w:autoSpaceDN/>
        <w:bidi w:val="0"/>
        <w:adjustRightInd/>
        <w:snapToGrid/>
        <w:spacing w:before="0" w:after="0"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_Toc1278301268 </w:instrText>
      </w:r>
      <w:r>
        <w:rPr>
          <w:bCs w:val="0"/>
          <w:i w:val="0"/>
          <w:iCs w:val="0"/>
          <w:sz w:val="24"/>
          <w:szCs w:val="24"/>
          <w:highlight w:val="none"/>
        </w:rPr>
        <w:fldChar w:fldCharType="separate"/>
      </w:r>
      <w:r>
        <w:rPr>
          <w:rFonts w:eastAsia="黑体"/>
          <w:bCs/>
          <w:i w:val="0"/>
          <w:iCs w:val="0"/>
          <w:kern w:val="44"/>
          <w:sz w:val="24"/>
          <w:szCs w:val="24"/>
          <w:highlight w:val="none"/>
        </w:rPr>
        <w:t>附件：重点产业及领域发展趋势判断与选择依据</w:t>
      </w:r>
      <w:r>
        <w:rPr>
          <w:i w:val="0"/>
          <w:iCs w:val="0"/>
          <w:sz w:val="24"/>
          <w:szCs w:val="24"/>
        </w:rPr>
        <w:tab/>
      </w:r>
      <w:r>
        <w:rPr>
          <w:i w:val="0"/>
          <w:iCs w:val="0"/>
          <w:sz w:val="24"/>
          <w:szCs w:val="24"/>
        </w:rPr>
        <w:fldChar w:fldCharType="begin"/>
      </w:r>
      <w:r>
        <w:rPr>
          <w:i w:val="0"/>
          <w:iCs w:val="0"/>
          <w:sz w:val="24"/>
          <w:szCs w:val="24"/>
        </w:rPr>
        <w:instrText xml:space="preserve"> PAGEREF _Toc1278301268 </w:instrText>
      </w:r>
      <w:r>
        <w:rPr>
          <w:i w:val="0"/>
          <w:iCs w:val="0"/>
          <w:sz w:val="24"/>
          <w:szCs w:val="24"/>
        </w:rPr>
        <w:fldChar w:fldCharType="separate"/>
      </w:r>
      <w:r>
        <w:rPr>
          <w:i w:val="0"/>
          <w:iCs w:val="0"/>
          <w:sz w:val="24"/>
          <w:szCs w:val="24"/>
        </w:rPr>
        <w:t>49</w:t>
      </w:r>
      <w:r>
        <w:rPr>
          <w:i w:val="0"/>
          <w:iCs w:val="0"/>
          <w:sz w:val="24"/>
          <w:szCs w:val="24"/>
        </w:rPr>
        <w:fldChar w:fldCharType="end"/>
      </w:r>
      <w:r>
        <w:rPr>
          <w:bCs w:val="0"/>
          <w:i w:val="0"/>
          <w:iCs w:val="0"/>
          <w:color w:val="auto"/>
          <w:sz w:val="24"/>
          <w:szCs w:val="24"/>
          <w:highlight w:val="none"/>
        </w:rPr>
        <w:fldChar w:fldCharType="end"/>
      </w:r>
    </w:p>
    <w:p>
      <w:pPr>
        <w:pStyle w:val="18"/>
        <w:keepNext w:val="0"/>
        <w:keepLines w:val="0"/>
        <w:pageBreakBefore w:val="0"/>
        <w:widowControl w:val="0"/>
        <w:tabs>
          <w:tab w:val="right" w:leader="dot" w:pos="8448"/>
        </w:tabs>
        <w:kinsoku/>
        <w:wordWrap/>
        <w:overflowPunct/>
        <w:topLinePunct w:val="0"/>
        <w:autoSpaceDE/>
        <w:autoSpaceDN/>
        <w:bidi w:val="0"/>
        <w:adjustRightInd/>
        <w:snapToGrid/>
        <w:spacing w:before="0" w:after="0"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_Toc1047981773 </w:instrText>
      </w:r>
      <w:r>
        <w:rPr>
          <w:bCs w:val="0"/>
          <w:i w:val="0"/>
          <w:iCs w:val="0"/>
          <w:sz w:val="24"/>
          <w:szCs w:val="24"/>
          <w:highlight w:val="none"/>
        </w:rPr>
        <w:fldChar w:fldCharType="separate"/>
      </w:r>
      <w:r>
        <w:rPr>
          <w:rFonts w:eastAsia="黑体"/>
          <w:i w:val="0"/>
          <w:iCs w:val="0"/>
          <w:sz w:val="24"/>
          <w:szCs w:val="24"/>
          <w:highlight w:val="none"/>
        </w:rPr>
        <w:t>附件1：5G产业选择依据和发展现状</w:t>
      </w:r>
      <w:r>
        <w:rPr>
          <w:i w:val="0"/>
          <w:iCs w:val="0"/>
          <w:sz w:val="24"/>
          <w:szCs w:val="24"/>
        </w:rPr>
        <w:tab/>
      </w:r>
      <w:r>
        <w:rPr>
          <w:i w:val="0"/>
          <w:iCs w:val="0"/>
          <w:sz w:val="24"/>
          <w:szCs w:val="24"/>
        </w:rPr>
        <w:fldChar w:fldCharType="begin"/>
      </w:r>
      <w:r>
        <w:rPr>
          <w:i w:val="0"/>
          <w:iCs w:val="0"/>
          <w:sz w:val="24"/>
          <w:szCs w:val="24"/>
        </w:rPr>
        <w:instrText xml:space="preserve"> PAGEREF _Toc1047981773 </w:instrText>
      </w:r>
      <w:r>
        <w:rPr>
          <w:i w:val="0"/>
          <w:iCs w:val="0"/>
          <w:sz w:val="24"/>
          <w:szCs w:val="24"/>
        </w:rPr>
        <w:fldChar w:fldCharType="separate"/>
      </w:r>
      <w:r>
        <w:rPr>
          <w:i w:val="0"/>
          <w:iCs w:val="0"/>
          <w:sz w:val="24"/>
          <w:szCs w:val="24"/>
        </w:rPr>
        <w:t>49</w:t>
      </w:r>
      <w:r>
        <w:rPr>
          <w:i w:val="0"/>
          <w:iCs w:val="0"/>
          <w:sz w:val="24"/>
          <w:szCs w:val="24"/>
        </w:rPr>
        <w:fldChar w:fldCharType="end"/>
      </w:r>
      <w:r>
        <w:rPr>
          <w:bCs w:val="0"/>
          <w:i w:val="0"/>
          <w:iCs w:val="0"/>
          <w:color w:val="auto"/>
          <w:sz w:val="24"/>
          <w:szCs w:val="24"/>
          <w:highlight w:val="none"/>
        </w:rPr>
        <w:fldChar w:fldCharType="end"/>
      </w:r>
    </w:p>
    <w:p>
      <w:pPr>
        <w:pStyle w:val="18"/>
        <w:keepNext w:val="0"/>
        <w:keepLines w:val="0"/>
        <w:pageBreakBefore w:val="0"/>
        <w:widowControl w:val="0"/>
        <w:tabs>
          <w:tab w:val="right" w:leader="dot" w:pos="8448"/>
        </w:tabs>
        <w:kinsoku/>
        <w:wordWrap/>
        <w:overflowPunct/>
        <w:topLinePunct w:val="0"/>
        <w:autoSpaceDE/>
        <w:autoSpaceDN/>
        <w:bidi w:val="0"/>
        <w:adjustRightInd/>
        <w:snapToGrid/>
        <w:spacing w:before="0" w:after="0"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_Toc297576800 </w:instrText>
      </w:r>
      <w:r>
        <w:rPr>
          <w:bCs w:val="0"/>
          <w:i w:val="0"/>
          <w:iCs w:val="0"/>
          <w:sz w:val="24"/>
          <w:szCs w:val="24"/>
          <w:highlight w:val="none"/>
        </w:rPr>
        <w:fldChar w:fldCharType="separate"/>
      </w:r>
      <w:r>
        <w:rPr>
          <w:rFonts w:eastAsia="黑体"/>
          <w:i w:val="0"/>
          <w:iCs w:val="0"/>
          <w:sz w:val="24"/>
          <w:szCs w:val="24"/>
          <w:highlight w:val="none"/>
        </w:rPr>
        <w:t>附件2：移动智能终端产业选择依据和发展现状</w:t>
      </w:r>
      <w:r>
        <w:rPr>
          <w:i w:val="0"/>
          <w:iCs w:val="0"/>
          <w:sz w:val="24"/>
          <w:szCs w:val="24"/>
        </w:rPr>
        <w:tab/>
      </w:r>
      <w:r>
        <w:rPr>
          <w:i w:val="0"/>
          <w:iCs w:val="0"/>
          <w:sz w:val="24"/>
          <w:szCs w:val="24"/>
        </w:rPr>
        <w:fldChar w:fldCharType="begin"/>
      </w:r>
      <w:r>
        <w:rPr>
          <w:i w:val="0"/>
          <w:iCs w:val="0"/>
          <w:sz w:val="24"/>
          <w:szCs w:val="24"/>
        </w:rPr>
        <w:instrText xml:space="preserve"> PAGEREF _Toc297576800 </w:instrText>
      </w:r>
      <w:r>
        <w:rPr>
          <w:i w:val="0"/>
          <w:iCs w:val="0"/>
          <w:sz w:val="24"/>
          <w:szCs w:val="24"/>
        </w:rPr>
        <w:fldChar w:fldCharType="separate"/>
      </w:r>
      <w:r>
        <w:rPr>
          <w:i w:val="0"/>
          <w:iCs w:val="0"/>
          <w:sz w:val="24"/>
          <w:szCs w:val="24"/>
        </w:rPr>
        <w:t>52</w:t>
      </w:r>
      <w:r>
        <w:rPr>
          <w:i w:val="0"/>
          <w:iCs w:val="0"/>
          <w:sz w:val="24"/>
          <w:szCs w:val="24"/>
        </w:rPr>
        <w:fldChar w:fldCharType="end"/>
      </w:r>
      <w:r>
        <w:rPr>
          <w:bCs w:val="0"/>
          <w:i w:val="0"/>
          <w:iCs w:val="0"/>
          <w:color w:val="auto"/>
          <w:sz w:val="24"/>
          <w:szCs w:val="24"/>
          <w:highlight w:val="none"/>
        </w:rPr>
        <w:fldChar w:fldCharType="end"/>
      </w:r>
    </w:p>
    <w:p>
      <w:pPr>
        <w:pStyle w:val="18"/>
        <w:keepNext w:val="0"/>
        <w:keepLines w:val="0"/>
        <w:pageBreakBefore w:val="0"/>
        <w:widowControl w:val="0"/>
        <w:tabs>
          <w:tab w:val="right" w:leader="dot" w:pos="8448"/>
        </w:tabs>
        <w:kinsoku/>
        <w:wordWrap/>
        <w:overflowPunct/>
        <w:topLinePunct w:val="0"/>
        <w:autoSpaceDE/>
        <w:autoSpaceDN/>
        <w:bidi w:val="0"/>
        <w:adjustRightInd/>
        <w:snapToGrid/>
        <w:spacing w:before="0" w:after="0"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_Toc2061403347 </w:instrText>
      </w:r>
      <w:r>
        <w:rPr>
          <w:bCs w:val="0"/>
          <w:i w:val="0"/>
          <w:iCs w:val="0"/>
          <w:sz w:val="24"/>
          <w:szCs w:val="24"/>
          <w:highlight w:val="none"/>
        </w:rPr>
        <w:fldChar w:fldCharType="separate"/>
      </w:r>
      <w:r>
        <w:rPr>
          <w:rFonts w:eastAsia="黑体"/>
          <w:i w:val="0"/>
          <w:iCs w:val="0"/>
          <w:sz w:val="24"/>
          <w:szCs w:val="24"/>
          <w:highlight w:val="none"/>
        </w:rPr>
        <w:t>附件3：VR/AR产业选择依据和发展现状</w:t>
      </w:r>
      <w:r>
        <w:rPr>
          <w:i w:val="0"/>
          <w:iCs w:val="0"/>
          <w:sz w:val="24"/>
          <w:szCs w:val="24"/>
        </w:rPr>
        <w:tab/>
      </w:r>
      <w:r>
        <w:rPr>
          <w:i w:val="0"/>
          <w:iCs w:val="0"/>
          <w:sz w:val="24"/>
          <w:szCs w:val="24"/>
        </w:rPr>
        <w:fldChar w:fldCharType="begin"/>
      </w:r>
      <w:r>
        <w:rPr>
          <w:i w:val="0"/>
          <w:iCs w:val="0"/>
          <w:sz w:val="24"/>
          <w:szCs w:val="24"/>
        </w:rPr>
        <w:instrText xml:space="preserve"> PAGEREF _Toc2061403347 </w:instrText>
      </w:r>
      <w:r>
        <w:rPr>
          <w:i w:val="0"/>
          <w:iCs w:val="0"/>
          <w:sz w:val="24"/>
          <w:szCs w:val="24"/>
        </w:rPr>
        <w:fldChar w:fldCharType="separate"/>
      </w:r>
      <w:r>
        <w:rPr>
          <w:i w:val="0"/>
          <w:iCs w:val="0"/>
          <w:sz w:val="24"/>
          <w:szCs w:val="24"/>
        </w:rPr>
        <w:t>55</w:t>
      </w:r>
      <w:r>
        <w:rPr>
          <w:i w:val="0"/>
          <w:iCs w:val="0"/>
          <w:sz w:val="24"/>
          <w:szCs w:val="24"/>
        </w:rPr>
        <w:fldChar w:fldCharType="end"/>
      </w:r>
      <w:r>
        <w:rPr>
          <w:bCs w:val="0"/>
          <w:i w:val="0"/>
          <w:iCs w:val="0"/>
          <w:color w:val="auto"/>
          <w:sz w:val="24"/>
          <w:szCs w:val="24"/>
          <w:highlight w:val="none"/>
        </w:rPr>
        <w:fldChar w:fldCharType="end"/>
      </w:r>
    </w:p>
    <w:p>
      <w:pPr>
        <w:pStyle w:val="18"/>
        <w:keepNext w:val="0"/>
        <w:keepLines w:val="0"/>
        <w:pageBreakBefore w:val="0"/>
        <w:widowControl w:val="0"/>
        <w:tabs>
          <w:tab w:val="right" w:leader="dot" w:pos="8448"/>
        </w:tabs>
        <w:kinsoku/>
        <w:wordWrap/>
        <w:overflowPunct/>
        <w:topLinePunct w:val="0"/>
        <w:autoSpaceDE/>
        <w:autoSpaceDN/>
        <w:bidi w:val="0"/>
        <w:adjustRightInd/>
        <w:snapToGrid/>
        <w:spacing w:before="0" w:after="0"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_Toc465797122 </w:instrText>
      </w:r>
      <w:r>
        <w:rPr>
          <w:bCs w:val="0"/>
          <w:i w:val="0"/>
          <w:iCs w:val="0"/>
          <w:sz w:val="24"/>
          <w:szCs w:val="24"/>
          <w:highlight w:val="none"/>
        </w:rPr>
        <w:fldChar w:fldCharType="separate"/>
      </w:r>
      <w:r>
        <w:rPr>
          <w:rFonts w:eastAsia="黑体"/>
          <w:i w:val="0"/>
          <w:iCs w:val="0"/>
          <w:sz w:val="24"/>
          <w:szCs w:val="24"/>
          <w:highlight w:val="none"/>
        </w:rPr>
        <w:t>附件4：LED产业选择依据和发展现状</w:t>
      </w:r>
      <w:r>
        <w:rPr>
          <w:i w:val="0"/>
          <w:iCs w:val="0"/>
          <w:sz w:val="24"/>
          <w:szCs w:val="24"/>
        </w:rPr>
        <w:tab/>
      </w:r>
      <w:r>
        <w:rPr>
          <w:i w:val="0"/>
          <w:iCs w:val="0"/>
          <w:sz w:val="24"/>
          <w:szCs w:val="24"/>
        </w:rPr>
        <w:fldChar w:fldCharType="begin"/>
      </w:r>
      <w:r>
        <w:rPr>
          <w:i w:val="0"/>
          <w:iCs w:val="0"/>
          <w:sz w:val="24"/>
          <w:szCs w:val="24"/>
        </w:rPr>
        <w:instrText xml:space="preserve"> PAGEREF _Toc465797122 </w:instrText>
      </w:r>
      <w:r>
        <w:rPr>
          <w:i w:val="0"/>
          <w:iCs w:val="0"/>
          <w:sz w:val="24"/>
          <w:szCs w:val="24"/>
        </w:rPr>
        <w:fldChar w:fldCharType="separate"/>
      </w:r>
      <w:r>
        <w:rPr>
          <w:i w:val="0"/>
          <w:iCs w:val="0"/>
          <w:sz w:val="24"/>
          <w:szCs w:val="24"/>
        </w:rPr>
        <w:t>56</w:t>
      </w:r>
      <w:r>
        <w:rPr>
          <w:i w:val="0"/>
          <w:iCs w:val="0"/>
          <w:sz w:val="24"/>
          <w:szCs w:val="24"/>
        </w:rPr>
        <w:fldChar w:fldCharType="end"/>
      </w:r>
      <w:r>
        <w:rPr>
          <w:bCs w:val="0"/>
          <w:i w:val="0"/>
          <w:iCs w:val="0"/>
          <w:color w:val="auto"/>
          <w:sz w:val="24"/>
          <w:szCs w:val="24"/>
          <w:highlight w:val="none"/>
        </w:rPr>
        <w:fldChar w:fldCharType="end"/>
      </w:r>
    </w:p>
    <w:p>
      <w:pPr>
        <w:pStyle w:val="18"/>
        <w:keepNext w:val="0"/>
        <w:keepLines w:val="0"/>
        <w:pageBreakBefore w:val="0"/>
        <w:widowControl w:val="0"/>
        <w:tabs>
          <w:tab w:val="right" w:leader="dot" w:pos="8448"/>
        </w:tabs>
        <w:kinsoku/>
        <w:wordWrap/>
        <w:overflowPunct/>
        <w:topLinePunct w:val="0"/>
        <w:autoSpaceDE/>
        <w:autoSpaceDN/>
        <w:bidi w:val="0"/>
        <w:adjustRightInd/>
        <w:snapToGrid/>
        <w:spacing w:before="0" w:after="0"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_Toc1902233603 </w:instrText>
      </w:r>
      <w:r>
        <w:rPr>
          <w:bCs w:val="0"/>
          <w:i w:val="0"/>
          <w:iCs w:val="0"/>
          <w:sz w:val="24"/>
          <w:szCs w:val="24"/>
          <w:highlight w:val="none"/>
        </w:rPr>
        <w:fldChar w:fldCharType="separate"/>
      </w:r>
      <w:r>
        <w:rPr>
          <w:rFonts w:eastAsia="黑体"/>
          <w:i w:val="0"/>
          <w:iCs w:val="0"/>
          <w:sz w:val="24"/>
          <w:szCs w:val="24"/>
          <w:highlight w:val="none"/>
        </w:rPr>
        <w:t>附件5：集成电路产业选择依据和发展现状</w:t>
      </w:r>
      <w:r>
        <w:rPr>
          <w:i w:val="0"/>
          <w:iCs w:val="0"/>
          <w:sz w:val="24"/>
          <w:szCs w:val="24"/>
        </w:rPr>
        <w:tab/>
      </w:r>
      <w:r>
        <w:rPr>
          <w:i w:val="0"/>
          <w:iCs w:val="0"/>
          <w:sz w:val="24"/>
          <w:szCs w:val="24"/>
        </w:rPr>
        <w:fldChar w:fldCharType="begin"/>
      </w:r>
      <w:r>
        <w:rPr>
          <w:i w:val="0"/>
          <w:iCs w:val="0"/>
          <w:sz w:val="24"/>
          <w:szCs w:val="24"/>
        </w:rPr>
        <w:instrText xml:space="preserve"> PAGEREF _Toc1902233603 </w:instrText>
      </w:r>
      <w:r>
        <w:rPr>
          <w:i w:val="0"/>
          <w:iCs w:val="0"/>
          <w:sz w:val="24"/>
          <w:szCs w:val="24"/>
        </w:rPr>
        <w:fldChar w:fldCharType="separate"/>
      </w:r>
      <w:r>
        <w:rPr>
          <w:i w:val="0"/>
          <w:iCs w:val="0"/>
          <w:sz w:val="24"/>
          <w:szCs w:val="24"/>
        </w:rPr>
        <w:t>58</w:t>
      </w:r>
      <w:r>
        <w:rPr>
          <w:i w:val="0"/>
          <w:iCs w:val="0"/>
          <w:sz w:val="24"/>
          <w:szCs w:val="24"/>
        </w:rPr>
        <w:fldChar w:fldCharType="end"/>
      </w:r>
      <w:r>
        <w:rPr>
          <w:bCs w:val="0"/>
          <w:i w:val="0"/>
          <w:iCs w:val="0"/>
          <w:color w:val="auto"/>
          <w:sz w:val="24"/>
          <w:szCs w:val="24"/>
          <w:highlight w:val="none"/>
        </w:rPr>
        <w:fldChar w:fldCharType="end"/>
      </w:r>
    </w:p>
    <w:p>
      <w:pPr>
        <w:pStyle w:val="18"/>
        <w:keepNext w:val="0"/>
        <w:keepLines w:val="0"/>
        <w:pageBreakBefore w:val="0"/>
        <w:widowControl w:val="0"/>
        <w:tabs>
          <w:tab w:val="right" w:leader="dot" w:pos="8448"/>
        </w:tabs>
        <w:kinsoku/>
        <w:wordWrap/>
        <w:overflowPunct/>
        <w:topLinePunct w:val="0"/>
        <w:autoSpaceDE/>
        <w:autoSpaceDN/>
        <w:bidi w:val="0"/>
        <w:adjustRightInd/>
        <w:snapToGrid/>
        <w:spacing w:before="0" w:after="0"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_Toc2065192130 </w:instrText>
      </w:r>
      <w:r>
        <w:rPr>
          <w:bCs w:val="0"/>
          <w:i w:val="0"/>
          <w:iCs w:val="0"/>
          <w:sz w:val="24"/>
          <w:szCs w:val="24"/>
          <w:highlight w:val="none"/>
        </w:rPr>
        <w:fldChar w:fldCharType="separate"/>
      </w:r>
      <w:r>
        <w:rPr>
          <w:rFonts w:eastAsia="黑体"/>
          <w:i w:val="0"/>
          <w:iCs w:val="0"/>
          <w:sz w:val="24"/>
          <w:szCs w:val="24"/>
          <w:highlight w:val="none"/>
        </w:rPr>
        <w:t>附件6：新型显示产业选择依据和发展现状</w:t>
      </w:r>
      <w:r>
        <w:rPr>
          <w:i w:val="0"/>
          <w:iCs w:val="0"/>
          <w:sz w:val="24"/>
          <w:szCs w:val="24"/>
        </w:rPr>
        <w:tab/>
      </w:r>
      <w:r>
        <w:rPr>
          <w:i w:val="0"/>
          <w:iCs w:val="0"/>
          <w:sz w:val="24"/>
          <w:szCs w:val="24"/>
        </w:rPr>
        <w:fldChar w:fldCharType="begin"/>
      </w:r>
      <w:r>
        <w:rPr>
          <w:i w:val="0"/>
          <w:iCs w:val="0"/>
          <w:sz w:val="24"/>
          <w:szCs w:val="24"/>
        </w:rPr>
        <w:instrText xml:space="preserve"> PAGEREF _Toc2065192130 </w:instrText>
      </w:r>
      <w:r>
        <w:rPr>
          <w:i w:val="0"/>
          <w:iCs w:val="0"/>
          <w:sz w:val="24"/>
          <w:szCs w:val="24"/>
        </w:rPr>
        <w:fldChar w:fldCharType="separate"/>
      </w:r>
      <w:r>
        <w:rPr>
          <w:i w:val="0"/>
          <w:iCs w:val="0"/>
          <w:sz w:val="24"/>
          <w:szCs w:val="24"/>
        </w:rPr>
        <w:t>61</w:t>
      </w:r>
      <w:r>
        <w:rPr>
          <w:i w:val="0"/>
          <w:iCs w:val="0"/>
          <w:sz w:val="24"/>
          <w:szCs w:val="24"/>
        </w:rPr>
        <w:fldChar w:fldCharType="end"/>
      </w:r>
      <w:r>
        <w:rPr>
          <w:bCs w:val="0"/>
          <w:i w:val="0"/>
          <w:iCs w:val="0"/>
          <w:color w:val="auto"/>
          <w:sz w:val="24"/>
          <w:szCs w:val="24"/>
          <w:highlight w:val="none"/>
        </w:rPr>
        <w:fldChar w:fldCharType="end"/>
      </w:r>
    </w:p>
    <w:p>
      <w:pPr>
        <w:pStyle w:val="18"/>
        <w:keepNext w:val="0"/>
        <w:keepLines w:val="0"/>
        <w:pageBreakBefore w:val="0"/>
        <w:widowControl w:val="0"/>
        <w:tabs>
          <w:tab w:val="right" w:leader="dot" w:pos="8448"/>
        </w:tabs>
        <w:kinsoku/>
        <w:wordWrap/>
        <w:overflowPunct/>
        <w:topLinePunct w:val="0"/>
        <w:autoSpaceDE/>
        <w:autoSpaceDN/>
        <w:bidi w:val="0"/>
        <w:adjustRightInd/>
        <w:snapToGrid/>
        <w:spacing w:before="0" w:after="0"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_Toc781285837 </w:instrText>
      </w:r>
      <w:r>
        <w:rPr>
          <w:bCs w:val="0"/>
          <w:i w:val="0"/>
          <w:iCs w:val="0"/>
          <w:sz w:val="24"/>
          <w:szCs w:val="24"/>
          <w:highlight w:val="none"/>
        </w:rPr>
        <w:fldChar w:fldCharType="separate"/>
      </w:r>
      <w:r>
        <w:rPr>
          <w:rFonts w:eastAsia="黑体"/>
          <w:i w:val="0"/>
          <w:iCs w:val="0"/>
          <w:sz w:val="24"/>
          <w:szCs w:val="24"/>
          <w:highlight w:val="none"/>
        </w:rPr>
        <w:t>附件7：电子材料产业选择依据和发展现状</w:t>
      </w:r>
      <w:r>
        <w:rPr>
          <w:i w:val="0"/>
          <w:iCs w:val="0"/>
          <w:sz w:val="24"/>
          <w:szCs w:val="24"/>
        </w:rPr>
        <w:tab/>
      </w:r>
      <w:r>
        <w:rPr>
          <w:i w:val="0"/>
          <w:iCs w:val="0"/>
          <w:sz w:val="24"/>
          <w:szCs w:val="24"/>
        </w:rPr>
        <w:fldChar w:fldCharType="begin"/>
      </w:r>
      <w:r>
        <w:rPr>
          <w:i w:val="0"/>
          <w:iCs w:val="0"/>
          <w:sz w:val="24"/>
          <w:szCs w:val="24"/>
        </w:rPr>
        <w:instrText xml:space="preserve"> PAGEREF _Toc781285837 </w:instrText>
      </w:r>
      <w:r>
        <w:rPr>
          <w:i w:val="0"/>
          <w:iCs w:val="0"/>
          <w:sz w:val="24"/>
          <w:szCs w:val="24"/>
        </w:rPr>
        <w:fldChar w:fldCharType="separate"/>
      </w:r>
      <w:r>
        <w:rPr>
          <w:i w:val="0"/>
          <w:iCs w:val="0"/>
          <w:sz w:val="24"/>
          <w:szCs w:val="24"/>
        </w:rPr>
        <w:t>62</w:t>
      </w:r>
      <w:r>
        <w:rPr>
          <w:i w:val="0"/>
          <w:iCs w:val="0"/>
          <w:sz w:val="24"/>
          <w:szCs w:val="24"/>
        </w:rPr>
        <w:fldChar w:fldCharType="end"/>
      </w:r>
      <w:r>
        <w:rPr>
          <w:bCs w:val="0"/>
          <w:i w:val="0"/>
          <w:iCs w:val="0"/>
          <w:color w:val="auto"/>
          <w:sz w:val="24"/>
          <w:szCs w:val="24"/>
          <w:highlight w:val="none"/>
        </w:rPr>
        <w:fldChar w:fldCharType="end"/>
      </w:r>
    </w:p>
    <w:p>
      <w:pPr>
        <w:pStyle w:val="18"/>
        <w:keepNext w:val="0"/>
        <w:keepLines w:val="0"/>
        <w:pageBreakBefore w:val="0"/>
        <w:widowControl w:val="0"/>
        <w:tabs>
          <w:tab w:val="right" w:leader="dot" w:pos="8448"/>
        </w:tabs>
        <w:kinsoku/>
        <w:wordWrap/>
        <w:overflowPunct/>
        <w:topLinePunct w:val="0"/>
        <w:autoSpaceDE/>
        <w:autoSpaceDN/>
        <w:bidi w:val="0"/>
        <w:adjustRightInd/>
        <w:snapToGrid/>
        <w:spacing w:before="0" w:after="0"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_Toc94990456 </w:instrText>
      </w:r>
      <w:r>
        <w:rPr>
          <w:bCs w:val="0"/>
          <w:i w:val="0"/>
          <w:iCs w:val="0"/>
          <w:sz w:val="24"/>
          <w:szCs w:val="24"/>
          <w:highlight w:val="none"/>
        </w:rPr>
        <w:fldChar w:fldCharType="separate"/>
      </w:r>
      <w:r>
        <w:rPr>
          <w:rFonts w:eastAsia="黑体"/>
          <w:i w:val="0"/>
          <w:iCs w:val="0"/>
          <w:sz w:val="24"/>
          <w:szCs w:val="24"/>
          <w:highlight w:val="none"/>
        </w:rPr>
        <w:t>附件8：电子元器件产业选择依据和发展现状</w:t>
      </w:r>
      <w:r>
        <w:rPr>
          <w:i w:val="0"/>
          <w:iCs w:val="0"/>
          <w:sz w:val="24"/>
          <w:szCs w:val="24"/>
        </w:rPr>
        <w:tab/>
      </w:r>
      <w:r>
        <w:rPr>
          <w:i w:val="0"/>
          <w:iCs w:val="0"/>
          <w:sz w:val="24"/>
          <w:szCs w:val="24"/>
        </w:rPr>
        <w:fldChar w:fldCharType="begin"/>
      </w:r>
      <w:r>
        <w:rPr>
          <w:i w:val="0"/>
          <w:iCs w:val="0"/>
          <w:sz w:val="24"/>
          <w:szCs w:val="24"/>
        </w:rPr>
        <w:instrText xml:space="preserve"> PAGEREF _Toc94990456 </w:instrText>
      </w:r>
      <w:r>
        <w:rPr>
          <w:i w:val="0"/>
          <w:iCs w:val="0"/>
          <w:sz w:val="24"/>
          <w:szCs w:val="24"/>
        </w:rPr>
        <w:fldChar w:fldCharType="separate"/>
      </w:r>
      <w:r>
        <w:rPr>
          <w:i w:val="0"/>
          <w:iCs w:val="0"/>
          <w:sz w:val="24"/>
          <w:szCs w:val="24"/>
        </w:rPr>
        <w:t>63</w:t>
      </w:r>
      <w:r>
        <w:rPr>
          <w:i w:val="0"/>
          <w:iCs w:val="0"/>
          <w:sz w:val="24"/>
          <w:szCs w:val="24"/>
        </w:rPr>
        <w:fldChar w:fldCharType="end"/>
      </w:r>
      <w:r>
        <w:rPr>
          <w:bCs w:val="0"/>
          <w:i w:val="0"/>
          <w:iCs w:val="0"/>
          <w:color w:val="auto"/>
          <w:sz w:val="24"/>
          <w:szCs w:val="24"/>
          <w:highlight w:val="none"/>
        </w:rPr>
        <w:fldChar w:fldCharType="end"/>
      </w:r>
    </w:p>
    <w:p>
      <w:pPr>
        <w:pStyle w:val="18"/>
        <w:keepNext w:val="0"/>
        <w:keepLines w:val="0"/>
        <w:pageBreakBefore w:val="0"/>
        <w:widowControl w:val="0"/>
        <w:tabs>
          <w:tab w:val="right" w:leader="dot" w:pos="8448"/>
        </w:tabs>
        <w:kinsoku/>
        <w:wordWrap/>
        <w:overflowPunct/>
        <w:topLinePunct w:val="0"/>
        <w:autoSpaceDE/>
        <w:autoSpaceDN/>
        <w:bidi w:val="0"/>
        <w:adjustRightInd/>
        <w:snapToGrid/>
        <w:spacing w:before="0" w:after="0"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_Toc1157934912 </w:instrText>
      </w:r>
      <w:r>
        <w:rPr>
          <w:bCs w:val="0"/>
          <w:i w:val="0"/>
          <w:iCs w:val="0"/>
          <w:sz w:val="24"/>
          <w:szCs w:val="24"/>
          <w:highlight w:val="none"/>
        </w:rPr>
        <w:fldChar w:fldCharType="separate"/>
      </w:r>
      <w:r>
        <w:rPr>
          <w:rFonts w:eastAsia="黑体"/>
          <w:i w:val="0"/>
          <w:iCs w:val="0"/>
          <w:sz w:val="24"/>
          <w:szCs w:val="24"/>
          <w:highlight w:val="none"/>
        </w:rPr>
        <w:t>附件9：物联网产业选择依据和发展现状</w:t>
      </w:r>
      <w:r>
        <w:rPr>
          <w:i w:val="0"/>
          <w:iCs w:val="0"/>
          <w:sz w:val="24"/>
          <w:szCs w:val="24"/>
        </w:rPr>
        <w:tab/>
      </w:r>
      <w:r>
        <w:rPr>
          <w:i w:val="0"/>
          <w:iCs w:val="0"/>
          <w:sz w:val="24"/>
          <w:szCs w:val="24"/>
        </w:rPr>
        <w:fldChar w:fldCharType="begin"/>
      </w:r>
      <w:r>
        <w:rPr>
          <w:i w:val="0"/>
          <w:iCs w:val="0"/>
          <w:sz w:val="24"/>
          <w:szCs w:val="24"/>
        </w:rPr>
        <w:instrText xml:space="preserve"> PAGEREF _Toc1157934912 </w:instrText>
      </w:r>
      <w:r>
        <w:rPr>
          <w:i w:val="0"/>
          <w:iCs w:val="0"/>
          <w:sz w:val="24"/>
          <w:szCs w:val="24"/>
        </w:rPr>
        <w:fldChar w:fldCharType="separate"/>
      </w:r>
      <w:r>
        <w:rPr>
          <w:i w:val="0"/>
          <w:iCs w:val="0"/>
          <w:sz w:val="24"/>
          <w:szCs w:val="24"/>
        </w:rPr>
        <w:t>64</w:t>
      </w:r>
      <w:r>
        <w:rPr>
          <w:i w:val="0"/>
          <w:iCs w:val="0"/>
          <w:sz w:val="24"/>
          <w:szCs w:val="24"/>
        </w:rPr>
        <w:fldChar w:fldCharType="end"/>
      </w:r>
      <w:r>
        <w:rPr>
          <w:bCs w:val="0"/>
          <w:i w:val="0"/>
          <w:iCs w:val="0"/>
          <w:color w:val="auto"/>
          <w:sz w:val="24"/>
          <w:szCs w:val="24"/>
          <w:highlight w:val="none"/>
        </w:rPr>
        <w:fldChar w:fldCharType="end"/>
      </w:r>
    </w:p>
    <w:p>
      <w:pPr>
        <w:pStyle w:val="18"/>
        <w:keepNext w:val="0"/>
        <w:keepLines w:val="0"/>
        <w:pageBreakBefore w:val="0"/>
        <w:widowControl w:val="0"/>
        <w:tabs>
          <w:tab w:val="right" w:leader="dot" w:pos="8448"/>
        </w:tabs>
        <w:kinsoku/>
        <w:wordWrap/>
        <w:overflowPunct/>
        <w:topLinePunct w:val="0"/>
        <w:autoSpaceDE/>
        <w:autoSpaceDN/>
        <w:bidi w:val="0"/>
        <w:adjustRightInd/>
        <w:snapToGrid/>
        <w:spacing w:before="0" w:after="0"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_Toc1632532215 </w:instrText>
      </w:r>
      <w:r>
        <w:rPr>
          <w:bCs w:val="0"/>
          <w:i w:val="0"/>
          <w:iCs w:val="0"/>
          <w:sz w:val="24"/>
          <w:szCs w:val="24"/>
          <w:highlight w:val="none"/>
        </w:rPr>
        <w:fldChar w:fldCharType="separate"/>
      </w:r>
      <w:r>
        <w:rPr>
          <w:rFonts w:eastAsia="黑体"/>
          <w:i w:val="0"/>
          <w:iCs w:val="0"/>
          <w:sz w:val="24"/>
          <w:szCs w:val="24"/>
          <w:highlight w:val="none"/>
        </w:rPr>
        <w:t>附件10：人工智能产业选择依据和发展现状</w:t>
      </w:r>
      <w:r>
        <w:rPr>
          <w:i w:val="0"/>
          <w:iCs w:val="0"/>
          <w:sz w:val="24"/>
          <w:szCs w:val="24"/>
        </w:rPr>
        <w:tab/>
      </w:r>
      <w:r>
        <w:rPr>
          <w:i w:val="0"/>
          <w:iCs w:val="0"/>
          <w:sz w:val="24"/>
          <w:szCs w:val="24"/>
        </w:rPr>
        <w:fldChar w:fldCharType="begin"/>
      </w:r>
      <w:r>
        <w:rPr>
          <w:i w:val="0"/>
          <w:iCs w:val="0"/>
          <w:sz w:val="24"/>
          <w:szCs w:val="24"/>
        </w:rPr>
        <w:instrText xml:space="preserve"> PAGEREF _Toc1632532215 </w:instrText>
      </w:r>
      <w:r>
        <w:rPr>
          <w:i w:val="0"/>
          <w:iCs w:val="0"/>
          <w:sz w:val="24"/>
          <w:szCs w:val="24"/>
        </w:rPr>
        <w:fldChar w:fldCharType="separate"/>
      </w:r>
      <w:r>
        <w:rPr>
          <w:i w:val="0"/>
          <w:iCs w:val="0"/>
          <w:sz w:val="24"/>
          <w:szCs w:val="24"/>
        </w:rPr>
        <w:t>66</w:t>
      </w:r>
      <w:r>
        <w:rPr>
          <w:i w:val="0"/>
          <w:iCs w:val="0"/>
          <w:sz w:val="24"/>
          <w:szCs w:val="24"/>
        </w:rPr>
        <w:fldChar w:fldCharType="end"/>
      </w:r>
      <w:r>
        <w:rPr>
          <w:bCs w:val="0"/>
          <w:i w:val="0"/>
          <w:iCs w:val="0"/>
          <w:color w:val="auto"/>
          <w:sz w:val="24"/>
          <w:szCs w:val="24"/>
          <w:highlight w:val="none"/>
        </w:rPr>
        <w:fldChar w:fldCharType="end"/>
      </w:r>
    </w:p>
    <w:p>
      <w:pPr>
        <w:pStyle w:val="18"/>
        <w:keepNext w:val="0"/>
        <w:keepLines w:val="0"/>
        <w:pageBreakBefore w:val="0"/>
        <w:widowControl w:val="0"/>
        <w:tabs>
          <w:tab w:val="right" w:leader="dot" w:pos="8448"/>
        </w:tabs>
        <w:kinsoku/>
        <w:wordWrap/>
        <w:overflowPunct/>
        <w:topLinePunct w:val="0"/>
        <w:autoSpaceDE/>
        <w:autoSpaceDN/>
        <w:bidi w:val="0"/>
        <w:adjustRightInd/>
        <w:snapToGrid/>
        <w:spacing w:before="0" w:after="0"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_Toc1367086197 </w:instrText>
      </w:r>
      <w:r>
        <w:rPr>
          <w:bCs w:val="0"/>
          <w:i w:val="0"/>
          <w:iCs w:val="0"/>
          <w:sz w:val="24"/>
          <w:szCs w:val="24"/>
          <w:highlight w:val="none"/>
        </w:rPr>
        <w:fldChar w:fldCharType="separate"/>
      </w:r>
      <w:r>
        <w:rPr>
          <w:rFonts w:eastAsia="黑体"/>
          <w:i w:val="0"/>
          <w:iCs w:val="0"/>
          <w:sz w:val="24"/>
          <w:szCs w:val="24"/>
          <w:highlight w:val="none"/>
        </w:rPr>
        <w:t>附件11：云计算和大数据产业选择依据和发展现状</w:t>
      </w:r>
      <w:r>
        <w:rPr>
          <w:i w:val="0"/>
          <w:iCs w:val="0"/>
          <w:sz w:val="24"/>
          <w:szCs w:val="24"/>
        </w:rPr>
        <w:tab/>
      </w:r>
      <w:r>
        <w:rPr>
          <w:i w:val="0"/>
          <w:iCs w:val="0"/>
          <w:sz w:val="24"/>
          <w:szCs w:val="24"/>
        </w:rPr>
        <w:fldChar w:fldCharType="begin"/>
      </w:r>
      <w:r>
        <w:rPr>
          <w:i w:val="0"/>
          <w:iCs w:val="0"/>
          <w:sz w:val="24"/>
          <w:szCs w:val="24"/>
        </w:rPr>
        <w:instrText xml:space="preserve"> PAGEREF _Toc1367086197 </w:instrText>
      </w:r>
      <w:r>
        <w:rPr>
          <w:i w:val="0"/>
          <w:iCs w:val="0"/>
          <w:sz w:val="24"/>
          <w:szCs w:val="24"/>
        </w:rPr>
        <w:fldChar w:fldCharType="separate"/>
      </w:r>
      <w:r>
        <w:rPr>
          <w:i w:val="0"/>
          <w:iCs w:val="0"/>
          <w:sz w:val="24"/>
          <w:szCs w:val="24"/>
        </w:rPr>
        <w:t>67</w:t>
      </w:r>
      <w:r>
        <w:rPr>
          <w:i w:val="0"/>
          <w:iCs w:val="0"/>
          <w:sz w:val="24"/>
          <w:szCs w:val="24"/>
        </w:rPr>
        <w:fldChar w:fldCharType="end"/>
      </w:r>
      <w:r>
        <w:rPr>
          <w:bCs w:val="0"/>
          <w:i w:val="0"/>
          <w:iCs w:val="0"/>
          <w:color w:val="auto"/>
          <w:sz w:val="24"/>
          <w:szCs w:val="24"/>
          <w:highlight w:val="none"/>
        </w:rPr>
        <w:fldChar w:fldCharType="end"/>
      </w:r>
    </w:p>
    <w:p>
      <w:pPr>
        <w:pStyle w:val="18"/>
        <w:keepNext w:val="0"/>
        <w:keepLines w:val="0"/>
        <w:pageBreakBefore w:val="0"/>
        <w:widowControl w:val="0"/>
        <w:tabs>
          <w:tab w:val="right" w:leader="dot" w:pos="8448"/>
        </w:tabs>
        <w:kinsoku/>
        <w:wordWrap/>
        <w:overflowPunct/>
        <w:topLinePunct w:val="0"/>
        <w:autoSpaceDE/>
        <w:autoSpaceDN/>
        <w:bidi w:val="0"/>
        <w:adjustRightInd/>
        <w:snapToGrid/>
        <w:spacing w:before="0" w:after="0"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_Toc1724918585 </w:instrText>
      </w:r>
      <w:r>
        <w:rPr>
          <w:bCs w:val="0"/>
          <w:i w:val="0"/>
          <w:iCs w:val="0"/>
          <w:sz w:val="24"/>
          <w:szCs w:val="24"/>
          <w:highlight w:val="none"/>
        </w:rPr>
        <w:fldChar w:fldCharType="separate"/>
      </w:r>
      <w:r>
        <w:rPr>
          <w:rFonts w:eastAsia="黑体"/>
          <w:i w:val="0"/>
          <w:iCs w:val="0"/>
          <w:sz w:val="24"/>
          <w:szCs w:val="24"/>
          <w:highlight w:val="none"/>
        </w:rPr>
        <w:t>附件12：工业互联网产业选择依据和发展现状</w:t>
      </w:r>
      <w:r>
        <w:rPr>
          <w:i w:val="0"/>
          <w:iCs w:val="0"/>
          <w:sz w:val="24"/>
          <w:szCs w:val="24"/>
        </w:rPr>
        <w:tab/>
      </w:r>
      <w:r>
        <w:rPr>
          <w:i w:val="0"/>
          <w:iCs w:val="0"/>
          <w:sz w:val="24"/>
          <w:szCs w:val="24"/>
        </w:rPr>
        <w:fldChar w:fldCharType="begin"/>
      </w:r>
      <w:r>
        <w:rPr>
          <w:i w:val="0"/>
          <w:iCs w:val="0"/>
          <w:sz w:val="24"/>
          <w:szCs w:val="24"/>
        </w:rPr>
        <w:instrText xml:space="preserve"> PAGEREF _Toc1724918585 </w:instrText>
      </w:r>
      <w:r>
        <w:rPr>
          <w:i w:val="0"/>
          <w:iCs w:val="0"/>
          <w:sz w:val="24"/>
          <w:szCs w:val="24"/>
        </w:rPr>
        <w:fldChar w:fldCharType="separate"/>
      </w:r>
      <w:r>
        <w:rPr>
          <w:i w:val="0"/>
          <w:iCs w:val="0"/>
          <w:sz w:val="24"/>
          <w:szCs w:val="24"/>
        </w:rPr>
        <w:t>69</w:t>
      </w:r>
      <w:r>
        <w:rPr>
          <w:i w:val="0"/>
          <w:iCs w:val="0"/>
          <w:sz w:val="24"/>
          <w:szCs w:val="24"/>
        </w:rPr>
        <w:fldChar w:fldCharType="end"/>
      </w:r>
      <w:r>
        <w:rPr>
          <w:bCs w:val="0"/>
          <w:i w:val="0"/>
          <w:iCs w:val="0"/>
          <w:color w:val="auto"/>
          <w:sz w:val="24"/>
          <w:szCs w:val="24"/>
          <w:highlight w:val="none"/>
        </w:rPr>
        <w:fldChar w:fldCharType="end"/>
      </w:r>
    </w:p>
    <w:p>
      <w:pPr>
        <w:pStyle w:val="18"/>
        <w:keepNext w:val="0"/>
        <w:keepLines w:val="0"/>
        <w:pageBreakBefore w:val="0"/>
        <w:widowControl w:val="0"/>
        <w:tabs>
          <w:tab w:val="right" w:leader="dot" w:pos="8448"/>
        </w:tabs>
        <w:kinsoku/>
        <w:wordWrap/>
        <w:overflowPunct/>
        <w:topLinePunct w:val="0"/>
        <w:autoSpaceDE/>
        <w:autoSpaceDN/>
        <w:bidi w:val="0"/>
        <w:adjustRightInd/>
        <w:snapToGrid/>
        <w:spacing w:before="0" w:after="0"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_Toc1603935510 </w:instrText>
      </w:r>
      <w:r>
        <w:rPr>
          <w:bCs w:val="0"/>
          <w:i w:val="0"/>
          <w:iCs w:val="0"/>
          <w:sz w:val="24"/>
          <w:szCs w:val="24"/>
          <w:highlight w:val="none"/>
        </w:rPr>
        <w:fldChar w:fldCharType="separate"/>
      </w:r>
      <w:r>
        <w:rPr>
          <w:rFonts w:eastAsia="黑体"/>
          <w:i w:val="0"/>
          <w:iCs w:val="0"/>
          <w:sz w:val="24"/>
          <w:szCs w:val="24"/>
          <w:highlight w:val="none"/>
        </w:rPr>
        <w:t>附件13：航空电子产业选择依据和发展现状</w:t>
      </w:r>
      <w:r>
        <w:rPr>
          <w:i w:val="0"/>
          <w:iCs w:val="0"/>
          <w:sz w:val="24"/>
          <w:szCs w:val="24"/>
        </w:rPr>
        <w:tab/>
      </w:r>
      <w:r>
        <w:rPr>
          <w:i w:val="0"/>
          <w:iCs w:val="0"/>
          <w:sz w:val="24"/>
          <w:szCs w:val="24"/>
        </w:rPr>
        <w:fldChar w:fldCharType="begin"/>
      </w:r>
      <w:r>
        <w:rPr>
          <w:i w:val="0"/>
          <w:iCs w:val="0"/>
          <w:sz w:val="24"/>
          <w:szCs w:val="24"/>
        </w:rPr>
        <w:instrText xml:space="preserve"> PAGEREF _Toc1603935510 </w:instrText>
      </w:r>
      <w:r>
        <w:rPr>
          <w:i w:val="0"/>
          <w:iCs w:val="0"/>
          <w:sz w:val="24"/>
          <w:szCs w:val="24"/>
        </w:rPr>
        <w:fldChar w:fldCharType="separate"/>
      </w:r>
      <w:r>
        <w:rPr>
          <w:i w:val="0"/>
          <w:iCs w:val="0"/>
          <w:sz w:val="24"/>
          <w:szCs w:val="24"/>
        </w:rPr>
        <w:t>71</w:t>
      </w:r>
      <w:r>
        <w:rPr>
          <w:i w:val="0"/>
          <w:iCs w:val="0"/>
          <w:sz w:val="24"/>
          <w:szCs w:val="24"/>
        </w:rPr>
        <w:fldChar w:fldCharType="end"/>
      </w:r>
      <w:r>
        <w:rPr>
          <w:bCs w:val="0"/>
          <w:i w:val="0"/>
          <w:iCs w:val="0"/>
          <w:color w:val="auto"/>
          <w:sz w:val="24"/>
          <w:szCs w:val="24"/>
          <w:highlight w:val="none"/>
        </w:rPr>
        <w:fldChar w:fldCharType="end"/>
      </w:r>
    </w:p>
    <w:p>
      <w:pPr>
        <w:pStyle w:val="18"/>
        <w:keepNext w:val="0"/>
        <w:keepLines w:val="0"/>
        <w:pageBreakBefore w:val="0"/>
        <w:widowControl w:val="0"/>
        <w:tabs>
          <w:tab w:val="right" w:leader="dot" w:pos="8448"/>
        </w:tabs>
        <w:kinsoku/>
        <w:wordWrap/>
        <w:overflowPunct/>
        <w:topLinePunct w:val="0"/>
        <w:autoSpaceDE/>
        <w:autoSpaceDN/>
        <w:bidi w:val="0"/>
        <w:adjustRightInd/>
        <w:snapToGrid/>
        <w:spacing w:before="0" w:after="0" w:line="312" w:lineRule="auto"/>
        <w:textAlignment w:val="auto"/>
        <w:rPr>
          <w:i w:val="0"/>
          <w:iCs w:val="0"/>
          <w:sz w:val="24"/>
          <w:szCs w:val="24"/>
        </w:rPr>
      </w:pPr>
      <w:r>
        <w:rPr>
          <w:bCs w:val="0"/>
          <w:i w:val="0"/>
          <w:iCs w:val="0"/>
          <w:color w:val="auto"/>
          <w:sz w:val="24"/>
          <w:szCs w:val="24"/>
          <w:highlight w:val="none"/>
        </w:rPr>
        <w:fldChar w:fldCharType="begin"/>
      </w:r>
      <w:r>
        <w:rPr>
          <w:bCs w:val="0"/>
          <w:i w:val="0"/>
          <w:iCs w:val="0"/>
          <w:sz w:val="24"/>
          <w:szCs w:val="24"/>
          <w:highlight w:val="none"/>
        </w:rPr>
        <w:instrText xml:space="preserve"> HYPERLINK \l _Toc1474249695 </w:instrText>
      </w:r>
      <w:r>
        <w:rPr>
          <w:bCs w:val="0"/>
          <w:i w:val="0"/>
          <w:iCs w:val="0"/>
          <w:sz w:val="24"/>
          <w:szCs w:val="24"/>
          <w:highlight w:val="none"/>
        </w:rPr>
        <w:fldChar w:fldCharType="separate"/>
      </w:r>
      <w:r>
        <w:rPr>
          <w:rFonts w:eastAsia="黑体"/>
          <w:i w:val="0"/>
          <w:iCs w:val="0"/>
          <w:sz w:val="24"/>
          <w:szCs w:val="24"/>
          <w:highlight w:val="none"/>
        </w:rPr>
        <w:t>附件14：汽车电子产业选择依据和发展现状</w:t>
      </w:r>
      <w:r>
        <w:rPr>
          <w:i w:val="0"/>
          <w:iCs w:val="0"/>
          <w:sz w:val="24"/>
          <w:szCs w:val="24"/>
        </w:rPr>
        <w:tab/>
      </w:r>
      <w:r>
        <w:rPr>
          <w:i w:val="0"/>
          <w:iCs w:val="0"/>
          <w:sz w:val="24"/>
          <w:szCs w:val="24"/>
        </w:rPr>
        <w:fldChar w:fldCharType="begin"/>
      </w:r>
      <w:r>
        <w:rPr>
          <w:i w:val="0"/>
          <w:iCs w:val="0"/>
          <w:sz w:val="24"/>
          <w:szCs w:val="24"/>
        </w:rPr>
        <w:instrText xml:space="preserve"> PAGEREF _Toc1474249695 </w:instrText>
      </w:r>
      <w:r>
        <w:rPr>
          <w:i w:val="0"/>
          <w:iCs w:val="0"/>
          <w:sz w:val="24"/>
          <w:szCs w:val="24"/>
        </w:rPr>
        <w:fldChar w:fldCharType="separate"/>
      </w:r>
      <w:r>
        <w:rPr>
          <w:i w:val="0"/>
          <w:iCs w:val="0"/>
          <w:sz w:val="24"/>
          <w:szCs w:val="24"/>
        </w:rPr>
        <w:t>72</w:t>
      </w:r>
      <w:r>
        <w:rPr>
          <w:i w:val="0"/>
          <w:iCs w:val="0"/>
          <w:sz w:val="24"/>
          <w:szCs w:val="24"/>
        </w:rPr>
        <w:fldChar w:fldCharType="end"/>
      </w:r>
      <w:r>
        <w:rPr>
          <w:bCs w:val="0"/>
          <w:i w:val="0"/>
          <w:iCs w:val="0"/>
          <w:color w:val="auto"/>
          <w:sz w:val="24"/>
          <w:szCs w:val="24"/>
          <w:highlight w:val="none"/>
        </w:rPr>
        <w:fldChar w:fldCharType="end"/>
      </w:r>
    </w:p>
    <w:p>
      <w:pPr>
        <w:keepNext w:val="0"/>
        <w:keepLines w:val="0"/>
        <w:pageBreakBefore w:val="0"/>
        <w:widowControl w:val="0"/>
        <w:kinsoku/>
        <w:wordWrap/>
        <w:overflowPunct/>
        <w:topLinePunct w:val="0"/>
        <w:autoSpaceDE/>
        <w:autoSpaceDN/>
        <w:bidi w:val="0"/>
        <w:adjustRightInd/>
        <w:snapToGrid/>
        <w:spacing w:line="312" w:lineRule="auto"/>
        <w:ind w:firstLine="800"/>
        <w:textAlignment w:val="auto"/>
        <w:rPr>
          <w:rFonts w:eastAsiaTheme="minorEastAsia"/>
          <w:color w:val="auto"/>
          <w:highlight w:val="none"/>
        </w:rPr>
      </w:pPr>
      <w:r>
        <w:rPr>
          <w:b w:val="0"/>
          <w:bCs w:val="0"/>
          <w:i w:val="0"/>
          <w:iCs w:val="0"/>
          <w:color w:val="auto"/>
          <w:sz w:val="24"/>
          <w:szCs w:val="24"/>
          <w:highlight w:val="none"/>
        </w:rPr>
        <w:fldChar w:fldCharType="end"/>
      </w:r>
    </w:p>
    <w:p>
      <w:pPr>
        <w:pStyle w:val="38"/>
        <w:ind w:firstLine="560"/>
        <w:rPr>
          <w:color w:val="auto"/>
          <w:highlight w:val="none"/>
        </w:rPr>
        <w:sectPr>
          <w:footerReference r:id="rId11" w:type="first"/>
          <w:footerReference r:id="rId10" w:type="default"/>
          <w:pgSz w:w="11850" w:h="16783"/>
          <w:pgMar w:top="1701" w:right="1701" w:bottom="1701" w:left="1701" w:header="851" w:footer="992" w:gutter="0"/>
          <w:pgBorders>
            <w:top w:val="none" w:sz="0" w:space="0"/>
            <w:left w:val="none" w:sz="0" w:space="0"/>
            <w:bottom w:val="none" w:sz="0" w:space="0"/>
            <w:right w:val="none" w:sz="0" w:space="0"/>
          </w:pgBorders>
          <w:pgNumType w:fmt="decimal" w:start="1"/>
          <w:cols w:space="720" w:num="1"/>
          <w:titlePg/>
          <w:docGrid w:type="linesAndChars" w:linePitch="312" w:charSpace="0"/>
        </w:sectPr>
      </w:pPr>
    </w:p>
    <w:p>
      <w:pPr>
        <w:keepNext/>
        <w:keepLines/>
        <w:pageBreakBefore w:val="0"/>
        <w:widowControl w:val="0"/>
        <w:kinsoku/>
        <w:wordWrap/>
        <w:overflowPunct/>
        <w:topLinePunct w:val="0"/>
        <w:autoSpaceDE/>
        <w:autoSpaceDN/>
        <w:bidi w:val="0"/>
        <w:adjustRightInd/>
        <w:snapToGrid/>
        <w:spacing w:beforeLines="0" w:afterLines="0" w:line="580" w:lineRule="exact"/>
        <w:textAlignment w:val="auto"/>
        <w:outlineLvl w:val="0"/>
        <w:rPr>
          <w:rFonts w:eastAsia="黑体"/>
          <w:bCs/>
          <w:color w:val="auto"/>
          <w:kern w:val="44"/>
          <w:highlight w:val="none"/>
        </w:rPr>
      </w:pPr>
      <w:bookmarkStart w:id="5" w:name="_Toc883067345"/>
      <w:bookmarkStart w:id="6" w:name="_Toc88257115"/>
      <w:bookmarkStart w:id="7" w:name="_Toc32249"/>
      <w:r>
        <w:rPr>
          <w:rFonts w:eastAsia="黑体"/>
          <w:bCs/>
          <w:color w:val="auto"/>
          <w:kern w:val="44"/>
          <w:highlight w:val="none"/>
        </w:rPr>
        <w:t>一、“十三五”发展成效和经验总结</w:t>
      </w:r>
      <w:bookmarkEnd w:id="5"/>
      <w:bookmarkEnd w:id="6"/>
    </w:p>
    <w:p>
      <w:pPr>
        <w:pageBreakBefore w:val="0"/>
        <w:widowControl w:val="0"/>
        <w:kinsoku/>
        <w:wordWrap/>
        <w:overflowPunct/>
        <w:topLinePunct w:val="0"/>
        <w:autoSpaceDE/>
        <w:autoSpaceDN/>
        <w:bidi w:val="0"/>
        <w:adjustRightInd/>
        <w:snapToGrid/>
        <w:spacing w:beforeLines="0" w:afterLines="0" w:line="580" w:lineRule="exact"/>
        <w:textAlignment w:val="auto"/>
        <w:rPr>
          <w:color w:val="auto"/>
          <w:highlight w:val="none"/>
        </w:rPr>
      </w:pPr>
      <w:r>
        <w:rPr>
          <w:color w:val="auto"/>
          <w:highlight w:val="none"/>
        </w:rPr>
        <w:t>“十三五”期间，南昌市电子信息产业</w:t>
      </w:r>
      <w:r>
        <w:rPr>
          <w:rStyle w:val="37"/>
          <w:color w:val="auto"/>
          <w:highlight w:val="none"/>
        </w:rPr>
        <w:footnoteReference w:id="0"/>
      </w:r>
      <w:r>
        <w:rPr>
          <w:color w:val="auto"/>
          <w:highlight w:val="none"/>
        </w:rPr>
        <w:t>圆满完成既定目标，产业规模突破千亿，实现跃升式增长，成为区域重要的增长极。形成了移动智能终端、LED、VR</w:t>
      </w:r>
      <w:r>
        <w:rPr>
          <w:rStyle w:val="37"/>
          <w:color w:val="auto"/>
          <w:highlight w:val="none"/>
        </w:rPr>
        <w:footnoteReference w:id="1"/>
      </w:r>
      <w:r>
        <w:rPr>
          <w:color w:val="auto"/>
          <w:highlight w:val="none"/>
        </w:rPr>
        <w:t>三大优势产业，在硅衬底LED细分领域技术创新能力全球领先，为“十四五”打造万亿级产业集群提供</w:t>
      </w:r>
      <w:r>
        <w:rPr>
          <w:rFonts w:hint="eastAsia"/>
          <w:color w:val="auto"/>
          <w:highlight w:val="none"/>
          <w:lang w:eastAsia="zh-CN"/>
        </w:rPr>
        <w:t>了</w:t>
      </w:r>
      <w:r>
        <w:rPr>
          <w:color w:val="auto"/>
          <w:highlight w:val="none"/>
        </w:rPr>
        <w:t>良好基础。</w:t>
      </w:r>
    </w:p>
    <w:p>
      <w:pPr>
        <w:pageBreakBefore w:val="0"/>
        <w:widowControl w:val="0"/>
        <w:kinsoku/>
        <w:wordWrap/>
        <w:overflowPunct/>
        <w:topLinePunct w:val="0"/>
        <w:autoSpaceDE/>
        <w:autoSpaceDN/>
        <w:bidi w:val="0"/>
        <w:adjustRightInd/>
        <w:snapToGrid/>
        <w:spacing w:beforeLines="0" w:afterLines="0" w:line="580" w:lineRule="exact"/>
        <w:ind w:firstLine="643"/>
        <w:jc w:val="left"/>
        <w:textAlignment w:val="auto"/>
        <w:outlineLvl w:val="1"/>
        <w:rPr>
          <w:rFonts w:eastAsia="楷体_GB2312"/>
          <w:b/>
          <w:bCs/>
          <w:color w:val="auto"/>
          <w:kern w:val="28"/>
          <w:highlight w:val="none"/>
        </w:rPr>
      </w:pPr>
      <w:bookmarkStart w:id="8" w:name="_Toc1236437646"/>
      <w:bookmarkStart w:id="9" w:name="_Toc88257116"/>
      <w:r>
        <w:rPr>
          <w:rFonts w:eastAsia="楷体_GB2312"/>
          <w:b/>
          <w:bCs/>
          <w:color w:val="auto"/>
          <w:kern w:val="28"/>
          <w:highlight w:val="none"/>
        </w:rPr>
        <w:t>（一）发展成效</w:t>
      </w:r>
      <w:bookmarkEnd w:id="8"/>
      <w:bookmarkEnd w:id="9"/>
    </w:p>
    <w:p>
      <w:pPr>
        <w:pageBreakBefore w:val="0"/>
        <w:widowControl w:val="0"/>
        <w:kinsoku/>
        <w:wordWrap/>
        <w:overflowPunct/>
        <w:topLinePunct w:val="0"/>
        <w:autoSpaceDE/>
        <w:autoSpaceDN/>
        <w:bidi w:val="0"/>
        <w:adjustRightInd/>
        <w:snapToGrid/>
        <w:spacing w:beforeLines="0" w:afterLines="0" w:line="580" w:lineRule="exact"/>
        <w:ind w:firstLine="643"/>
        <w:textAlignment w:val="auto"/>
        <w:outlineLvl w:val="2"/>
        <w:rPr>
          <w:b/>
          <w:bCs/>
          <w:color w:val="auto"/>
          <w:highlight w:val="none"/>
        </w:rPr>
      </w:pPr>
      <w:bookmarkStart w:id="10" w:name="_Toc88257117"/>
      <w:bookmarkStart w:id="11" w:name="_Toc61619033"/>
      <w:bookmarkStart w:id="12" w:name="_Toc535757662"/>
      <w:bookmarkStart w:id="13" w:name="_Toc63181160"/>
      <w:r>
        <w:rPr>
          <w:b/>
          <w:bCs/>
          <w:color w:val="auto"/>
          <w:highlight w:val="none"/>
        </w:rPr>
        <w:t>1、产业规模跃升式壮大</w:t>
      </w:r>
      <w:bookmarkEnd w:id="10"/>
      <w:bookmarkEnd w:id="11"/>
      <w:bookmarkEnd w:id="12"/>
      <w:bookmarkEnd w:id="13"/>
    </w:p>
    <w:p>
      <w:pPr>
        <w:pageBreakBefore w:val="0"/>
        <w:widowControl w:val="0"/>
        <w:kinsoku/>
        <w:wordWrap/>
        <w:overflowPunct/>
        <w:topLinePunct w:val="0"/>
        <w:autoSpaceDE/>
        <w:autoSpaceDN/>
        <w:bidi w:val="0"/>
        <w:adjustRightInd/>
        <w:snapToGrid/>
        <w:spacing w:beforeLines="0" w:afterLines="0" w:line="580" w:lineRule="exact"/>
        <w:textAlignment w:val="auto"/>
        <w:rPr>
          <w:color w:val="auto"/>
          <w:highlight w:val="none"/>
        </w:rPr>
      </w:pPr>
      <w:r>
        <w:rPr>
          <w:color w:val="auto"/>
          <w:highlight w:val="none"/>
        </w:rPr>
        <w:t>“十三五”期间，南昌市电子信息产业实现超高速增长，提质增速均保持全省领先水平，年平均增速超过30%，远高于全国平均增速（5.8%），在2020年末达到1500亿规模，较2015年增加了283.7%。现拥有规模以上企业</w:t>
      </w:r>
      <w:r>
        <w:rPr>
          <w:rFonts w:hint="eastAsia"/>
          <w:color w:val="auto"/>
          <w:highlight w:val="none"/>
          <w:lang w:val="en-US" w:eastAsia="zh-CN"/>
        </w:rPr>
        <w:t>184</w:t>
      </w:r>
      <w:r>
        <w:rPr>
          <w:color w:val="auto"/>
          <w:highlight w:val="none"/>
        </w:rPr>
        <w:t>家，其中超百亿企业增加到2家，超50亿企业增加到</w:t>
      </w:r>
      <w:r>
        <w:rPr>
          <w:rFonts w:hint="eastAsia"/>
          <w:color w:val="auto"/>
          <w:highlight w:val="none"/>
          <w:lang w:val="en-US" w:eastAsia="zh-CN"/>
        </w:rPr>
        <w:t>6</w:t>
      </w:r>
      <w:r>
        <w:rPr>
          <w:color w:val="auto"/>
          <w:highlight w:val="none"/>
        </w:rPr>
        <w:t>家，主要手机整机生产企业增加到</w:t>
      </w:r>
      <w:r>
        <w:rPr>
          <w:rFonts w:hint="eastAsia"/>
          <w:color w:val="auto"/>
          <w:highlight w:val="none"/>
        </w:rPr>
        <w:t>7</w:t>
      </w:r>
      <w:r>
        <w:rPr>
          <w:color w:val="auto"/>
          <w:highlight w:val="none"/>
        </w:rPr>
        <w:t>家。</w:t>
      </w:r>
    </w:p>
    <w:p>
      <w:pPr>
        <w:pageBreakBefore w:val="0"/>
        <w:widowControl w:val="0"/>
        <w:kinsoku/>
        <w:wordWrap/>
        <w:overflowPunct/>
        <w:topLinePunct w:val="0"/>
        <w:autoSpaceDE/>
        <w:autoSpaceDN/>
        <w:bidi w:val="0"/>
        <w:adjustRightInd/>
        <w:snapToGrid/>
        <w:spacing w:beforeLines="0" w:afterLines="0" w:line="580" w:lineRule="exact"/>
        <w:ind w:firstLine="643"/>
        <w:textAlignment w:val="auto"/>
        <w:outlineLvl w:val="2"/>
        <w:rPr>
          <w:b/>
          <w:color w:val="auto"/>
          <w:highlight w:val="none"/>
        </w:rPr>
      </w:pPr>
      <w:bookmarkStart w:id="14" w:name="_Toc88257118"/>
      <w:bookmarkStart w:id="15" w:name="_Toc931855240"/>
      <w:bookmarkStart w:id="16" w:name="_Toc63181161"/>
      <w:bookmarkStart w:id="17" w:name="_Toc61619034"/>
      <w:r>
        <w:rPr>
          <w:b/>
          <w:bCs/>
          <w:color w:val="auto"/>
          <w:highlight w:val="none"/>
        </w:rPr>
        <w:t>2、链条式集聚效果明显</w:t>
      </w:r>
      <w:bookmarkEnd w:id="14"/>
      <w:bookmarkEnd w:id="15"/>
      <w:bookmarkEnd w:id="16"/>
      <w:bookmarkEnd w:id="17"/>
    </w:p>
    <w:p>
      <w:pPr>
        <w:pStyle w:val="10"/>
        <w:pageBreakBefore w:val="0"/>
        <w:widowControl w:val="0"/>
        <w:kinsoku/>
        <w:wordWrap/>
        <w:overflowPunct/>
        <w:topLinePunct w:val="0"/>
        <w:autoSpaceDE/>
        <w:autoSpaceDN/>
        <w:bidi w:val="0"/>
        <w:adjustRightInd/>
        <w:snapToGrid/>
        <w:spacing w:beforeLines="0" w:afterLines="0" w:line="580" w:lineRule="exact"/>
        <w:jc w:val="both"/>
        <w:textAlignment w:val="auto"/>
        <w:rPr>
          <w:color w:val="auto"/>
          <w:highlight w:val="none"/>
        </w:rPr>
      </w:pPr>
      <w:r>
        <w:rPr>
          <w:color w:val="auto"/>
          <w:highlight w:val="none"/>
        </w:rPr>
        <w:t>“十三五”期间，围绕LED和移动智能终端，南昌市集聚了一大批国内外骨干型企业和配套性企业，产业链条逐步完善，集聚效果凸显。在LED领域，引育了乾照光电、联创光电、兆驰半导体、晶能光电、晶和科技等主要企业和相关配套企业，打造了LED研发生产应用的完整产业链条。移动智能终端领域，围绕欧菲光、联创电子等行业领先企业，</w:t>
      </w:r>
      <w:r>
        <w:rPr>
          <w:rFonts w:hint="eastAsia"/>
          <w:color w:val="auto"/>
          <w:highlight w:val="none"/>
        </w:rPr>
        <w:t>引进了整机研发代工全产业链，已形成以液态镜头、摄像模组、触摸屏、主板贴片、受话器、耳机、芯片封装等零部件和整机生产相对完整的产业链。</w:t>
      </w:r>
    </w:p>
    <w:p>
      <w:pPr>
        <w:pageBreakBefore w:val="0"/>
        <w:widowControl w:val="0"/>
        <w:kinsoku/>
        <w:wordWrap/>
        <w:overflowPunct/>
        <w:topLinePunct w:val="0"/>
        <w:autoSpaceDE/>
        <w:autoSpaceDN/>
        <w:bidi w:val="0"/>
        <w:adjustRightInd/>
        <w:snapToGrid/>
        <w:spacing w:beforeLines="0" w:afterLines="0" w:line="580" w:lineRule="exact"/>
        <w:ind w:firstLine="643"/>
        <w:textAlignment w:val="auto"/>
        <w:outlineLvl w:val="2"/>
        <w:rPr>
          <w:b/>
          <w:bCs/>
          <w:color w:val="auto"/>
          <w:highlight w:val="none"/>
        </w:rPr>
      </w:pPr>
      <w:bookmarkStart w:id="18" w:name="_Toc1474240891"/>
      <w:bookmarkStart w:id="19" w:name="_Toc63181162"/>
      <w:bookmarkStart w:id="20" w:name="_Toc88257119"/>
      <w:bookmarkStart w:id="21" w:name="_Toc61619035"/>
      <w:r>
        <w:rPr>
          <w:b/>
          <w:bCs/>
          <w:color w:val="auto"/>
          <w:highlight w:val="none"/>
        </w:rPr>
        <w:t>3、差异化空间布局初步成型</w:t>
      </w:r>
      <w:bookmarkEnd w:id="18"/>
      <w:bookmarkEnd w:id="19"/>
      <w:bookmarkEnd w:id="20"/>
      <w:bookmarkEnd w:id="21"/>
    </w:p>
    <w:p>
      <w:pPr>
        <w:pageBreakBefore w:val="0"/>
        <w:widowControl w:val="0"/>
        <w:kinsoku/>
        <w:wordWrap/>
        <w:overflowPunct/>
        <w:topLinePunct w:val="0"/>
        <w:autoSpaceDE/>
        <w:autoSpaceDN/>
        <w:bidi w:val="0"/>
        <w:adjustRightInd/>
        <w:snapToGrid/>
        <w:spacing w:beforeLines="0" w:afterLines="0" w:line="580" w:lineRule="exact"/>
        <w:textAlignment w:val="auto"/>
        <w:rPr>
          <w:color w:val="auto"/>
          <w:highlight w:val="none"/>
        </w:rPr>
      </w:pPr>
      <w:r>
        <w:rPr>
          <w:color w:val="auto"/>
          <w:highlight w:val="none"/>
        </w:rPr>
        <w:t>“十三五”期间，南昌已基本形成以高新区、经开区（含临空区）为核心，</w:t>
      </w:r>
      <w:r>
        <w:rPr>
          <w:rFonts w:hint="eastAsia"/>
          <w:color w:val="auto"/>
          <w:highlight w:val="none"/>
          <w:lang w:eastAsia="zh-CN"/>
        </w:rPr>
        <w:t>红谷滩区、</w:t>
      </w:r>
      <w:r>
        <w:rPr>
          <w:color w:val="auto"/>
          <w:highlight w:val="none"/>
        </w:rPr>
        <w:t>小蓝经开区、青山湖区、新建区为重要依托的产业差异化空间布局。</w:t>
      </w:r>
      <w:r>
        <w:rPr>
          <w:b/>
          <w:color w:val="auto"/>
          <w:highlight w:val="none"/>
        </w:rPr>
        <w:t>高新区</w:t>
      </w:r>
      <w:r>
        <w:rPr>
          <w:color w:val="auto"/>
          <w:highlight w:val="none"/>
        </w:rPr>
        <w:t>集聚光电及通信产业，打造了移动智能终端国家新型工业化产业示范基地，引入华勤南昌制造中心、南昌龙旗科技园</w:t>
      </w:r>
      <w:r>
        <w:rPr>
          <w:rFonts w:hint="eastAsia"/>
          <w:color w:val="auto"/>
          <w:highlight w:val="none"/>
          <w:lang w:eastAsia="zh-CN"/>
        </w:rPr>
        <w:t>等重大项目</w:t>
      </w:r>
      <w:r>
        <w:rPr>
          <w:color w:val="auto"/>
          <w:highlight w:val="none"/>
        </w:rPr>
        <w:t>，实现区内研发制造上下游协同发展。</w:t>
      </w:r>
      <w:r>
        <w:rPr>
          <w:b/>
          <w:bCs/>
          <w:color w:val="auto"/>
          <w:highlight w:val="none"/>
        </w:rPr>
        <w:t>经开区</w:t>
      </w:r>
      <w:r>
        <w:rPr>
          <w:color w:val="auto"/>
          <w:highlight w:val="none"/>
        </w:rPr>
        <w:t>以LED、移动智能终端、消费电子及汽车电子产业为主导，承接国内外大型电子制造，推动了区域内制造业智能化转型升级。</w:t>
      </w:r>
      <w:r>
        <w:rPr>
          <w:b/>
          <w:bCs/>
          <w:color w:val="auto"/>
          <w:highlight w:val="none"/>
        </w:rPr>
        <w:t>红谷滩区</w:t>
      </w:r>
      <w:r>
        <w:rPr>
          <w:color w:val="auto"/>
          <w:highlight w:val="none"/>
        </w:rPr>
        <w:t>着力构建VR产业生态，引进了华为南昌研究所、浙江大学南昌研究院、微软AI+VR创新基地、高通影创联合创新中心、北理工VR标准平台等创新平台，为南昌打造世界VR之都奠定了科研基础。</w:t>
      </w:r>
      <w:r>
        <w:rPr>
          <w:b/>
          <w:bCs/>
          <w:color w:val="auto"/>
          <w:highlight w:val="none"/>
        </w:rPr>
        <w:t>小蓝经开区</w:t>
      </w:r>
      <w:r>
        <w:rPr>
          <w:bCs/>
          <w:color w:val="auto"/>
          <w:highlight w:val="none"/>
        </w:rPr>
        <w:t>、</w:t>
      </w:r>
      <w:r>
        <w:rPr>
          <w:b/>
          <w:color w:val="auto"/>
          <w:highlight w:val="none"/>
        </w:rPr>
        <w:t>青山湖区、新建区</w:t>
      </w:r>
      <w:r>
        <w:rPr>
          <w:color w:val="auto"/>
          <w:highlight w:val="none"/>
        </w:rPr>
        <w:t>分别在移动智能终端、LED、电子元器件等产业细分领域建链强链补链，促进南昌市电子信息产业全产业链协作互补。</w:t>
      </w:r>
    </w:p>
    <w:p>
      <w:pPr>
        <w:pageBreakBefore w:val="0"/>
        <w:widowControl w:val="0"/>
        <w:kinsoku/>
        <w:wordWrap/>
        <w:overflowPunct/>
        <w:topLinePunct w:val="0"/>
        <w:autoSpaceDE/>
        <w:autoSpaceDN/>
        <w:bidi w:val="0"/>
        <w:adjustRightInd/>
        <w:snapToGrid/>
        <w:spacing w:beforeLines="0" w:afterLines="0" w:line="580" w:lineRule="exact"/>
        <w:ind w:firstLine="643"/>
        <w:textAlignment w:val="auto"/>
        <w:outlineLvl w:val="2"/>
        <w:rPr>
          <w:b/>
          <w:bCs/>
          <w:color w:val="auto"/>
          <w:highlight w:val="none"/>
        </w:rPr>
      </w:pPr>
      <w:bookmarkStart w:id="22" w:name="_Toc61619036"/>
      <w:bookmarkStart w:id="23" w:name="_Toc88257120"/>
      <w:bookmarkStart w:id="24" w:name="_Toc63181163"/>
      <w:bookmarkStart w:id="25" w:name="_Toc1267640565"/>
      <w:r>
        <w:rPr>
          <w:b/>
          <w:bCs/>
          <w:color w:val="auto"/>
          <w:highlight w:val="none"/>
        </w:rPr>
        <w:t>4、未来前瞻产业布局抢位</w:t>
      </w:r>
      <w:bookmarkEnd w:id="22"/>
      <w:bookmarkEnd w:id="23"/>
      <w:bookmarkEnd w:id="24"/>
      <w:bookmarkEnd w:id="25"/>
    </w:p>
    <w:p>
      <w:pPr>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eastAsia="Times New Roman"/>
          <w:color w:val="auto"/>
          <w:kern w:val="0"/>
          <w:sz w:val="20"/>
          <w:szCs w:val="20"/>
          <w:highlight w:val="none"/>
        </w:rPr>
      </w:pPr>
      <w:r>
        <w:rPr>
          <w:color w:val="auto"/>
          <w:highlight w:val="none"/>
        </w:rPr>
        <w:t>南昌市加快在VR、5G、人工智能等前瞻产业布局，抢占全国制高点。</w:t>
      </w:r>
      <w:r>
        <w:rPr>
          <w:b/>
          <w:bCs/>
          <w:color w:val="auto"/>
          <w:highlight w:val="none"/>
        </w:rPr>
        <w:t>VR领域</w:t>
      </w:r>
      <w:r>
        <w:rPr>
          <w:color w:val="auto"/>
          <w:highlight w:val="none"/>
        </w:rPr>
        <w:t>，全力打造全球首个城市级VR产业基地，与北理工、华为、微软、网易、影创、科大讯飞、高通等科研团队和领军企业签署了战略合作协议，加快推进华为南昌研究所、阿里数字江西影创研究院、中国移动虚拟现实创新中心、北航VR研究院等重大项目落地。</w:t>
      </w:r>
      <w:r>
        <w:rPr>
          <w:b/>
          <w:bCs/>
          <w:color w:val="auto"/>
          <w:highlight w:val="none"/>
        </w:rPr>
        <w:t>5G领域</w:t>
      </w:r>
      <w:r>
        <w:rPr>
          <w:color w:val="auto"/>
          <w:highlight w:val="none"/>
        </w:rPr>
        <w:t>，加速5G基站建设，</w:t>
      </w:r>
      <w:r>
        <w:rPr>
          <w:rFonts w:hint="eastAsia"/>
          <w:color w:val="auto"/>
          <w:szCs w:val="32"/>
          <w:highlight w:val="none"/>
        </w:rPr>
        <w:t>截至 2021年1</w:t>
      </w:r>
      <w:r>
        <w:rPr>
          <w:rFonts w:hint="eastAsia"/>
          <w:color w:val="auto"/>
          <w:szCs w:val="32"/>
          <w:highlight w:val="none"/>
          <w:lang w:val="en-US" w:eastAsia="zh-CN"/>
        </w:rPr>
        <w:t>1</w:t>
      </w:r>
      <w:r>
        <w:rPr>
          <w:rFonts w:hint="eastAsia"/>
          <w:color w:val="auto"/>
          <w:szCs w:val="32"/>
          <w:highlight w:val="none"/>
        </w:rPr>
        <w:t>月底，全市累计开通4G基站28127个，5G基站1</w:t>
      </w:r>
      <w:r>
        <w:rPr>
          <w:rFonts w:hint="eastAsia"/>
          <w:color w:val="auto"/>
          <w:szCs w:val="32"/>
          <w:highlight w:val="none"/>
          <w:lang w:val="en-US" w:eastAsia="zh-CN"/>
        </w:rPr>
        <w:t>2350</w:t>
      </w:r>
      <w:r>
        <w:rPr>
          <w:rFonts w:hint="eastAsia"/>
          <w:color w:val="auto"/>
          <w:szCs w:val="32"/>
          <w:highlight w:val="none"/>
        </w:rPr>
        <w:t>个，NB-IoT基站3189个，5G网络在全省率先实现主城区100%连续覆盖和乡级行政区100%全部开通。</w:t>
      </w:r>
      <w:r>
        <w:rPr>
          <w:rFonts w:hint="eastAsia"/>
          <w:color w:val="auto"/>
          <w:szCs w:val="32"/>
          <w:highlight w:val="none"/>
          <w:lang w:eastAsia="zh-CN"/>
        </w:rPr>
        <w:t>同时，</w:t>
      </w:r>
      <w:r>
        <w:rPr>
          <w:color w:val="auto"/>
          <w:highlight w:val="none"/>
        </w:rPr>
        <w:t>依托现有企业，深度融合5G和VR产业，开展5G应用场景示范，推出5G+VR直播脱贫攻坚、智慧法院、智慧警务等活动，推动5G大规模商用。</w:t>
      </w:r>
      <w:r>
        <w:rPr>
          <w:b/>
          <w:bCs/>
          <w:color w:val="auto"/>
          <w:highlight w:val="none"/>
        </w:rPr>
        <w:t>人工智能领域</w:t>
      </w:r>
      <w:r>
        <w:rPr>
          <w:color w:val="auto"/>
          <w:highlight w:val="none"/>
        </w:rPr>
        <w:t>，通过加强公共平台建设，引进人工智能龙头企业落地南昌制造，打造人工智能创新应用和智能制造试点示范基地。前瞻产业多点布局，给未来发展注入新动力。</w:t>
      </w:r>
    </w:p>
    <w:p>
      <w:pPr>
        <w:pageBreakBefore w:val="0"/>
        <w:widowControl w:val="0"/>
        <w:kinsoku/>
        <w:wordWrap/>
        <w:overflowPunct/>
        <w:topLinePunct w:val="0"/>
        <w:autoSpaceDE/>
        <w:autoSpaceDN/>
        <w:bidi w:val="0"/>
        <w:adjustRightInd/>
        <w:snapToGrid/>
        <w:spacing w:beforeLines="0" w:afterLines="0" w:line="580" w:lineRule="exact"/>
        <w:ind w:firstLine="643"/>
        <w:jc w:val="left"/>
        <w:textAlignment w:val="auto"/>
        <w:outlineLvl w:val="1"/>
        <w:rPr>
          <w:rFonts w:eastAsia="楷体_GB2312"/>
          <w:b/>
          <w:bCs/>
          <w:color w:val="auto"/>
          <w:kern w:val="28"/>
          <w:highlight w:val="none"/>
        </w:rPr>
      </w:pPr>
      <w:bookmarkStart w:id="26" w:name="_Toc88257121"/>
      <w:bookmarkStart w:id="27" w:name="_Toc982551405"/>
      <w:r>
        <w:rPr>
          <w:rFonts w:eastAsia="楷体_GB2312"/>
          <w:b/>
          <w:bCs/>
          <w:color w:val="auto"/>
          <w:kern w:val="28"/>
          <w:highlight w:val="none"/>
        </w:rPr>
        <w:t>（二）经验总结</w:t>
      </w:r>
      <w:bookmarkEnd w:id="26"/>
      <w:bookmarkEnd w:id="27"/>
    </w:p>
    <w:p>
      <w:pPr>
        <w:pageBreakBefore w:val="0"/>
        <w:widowControl w:val="0"/>
        <w:kinsoku/>
        <w:wordWrap/>
        <w:overflowPunct/>
        <w:topLinePunct w:val="0"/>
        <w:autoSpaceDE/>
        <w:autoSpaceDN/>
        <w:bidi w:val="0"/>
        <w:adjustRightInd/>
        <w:snapToGrid/>
        <w:spacing w:beforeLines="0" w:afterLines="0" w:line="580" w:lineRule="exact"/>
        <w:ind w:firstLine="643"/>
        <w:textAlignment w:val="auto"/>
        <w:outlineLvl w:val="2"/>
        <w:rPr>
          <w:b/>
          <w:bCs/>
          <w:color w:val="auto"/>
          <w:highlight w:val="none"/>
        </w:rPr>
      </w:pPr>
      <w:bookmarkStart w:id="28" w:name="_Toc88257122"/>
      <w:bookmarkStart w:id="29" w:name="_Toc77987515"/>
      <w:bookmarkStart w:id="30" w:name="_Toc61619038"/>
      <w:bookmarkStart w:id="31" w:name="_Toc63181165"/>
      <w:r>
        <w:rPr>
          <w:b/>
          <w:bCs/>
          <w:color w:val="auto"/>
          <w:highlight w:val="none"/>
        </w:rPr>
        <w:t>1、深化</w:t>
      </w:r>
      <w:r>
        <w:rPr>
          <w:rFonts w:eastAsia="黑体"/>
          <w:bCs/>
          <w:color w:val="auto"/>
          <w:kern w:val="44"/>
          <w:highlight w:val="none"/>
        </w:rPr>
        <w:t>“</w:t>
      </w:r>
      <w:r>
        <w:rPr>
          <w:b/>
          <w:bCs/>
          <w:color w:val="auto"/>
          <w:highlight w:val="none"/>
        </w:rPr>
        <w:t>轻资产、重资本</w:t>
      </w:r>
      <w:r>
        <w:rPr>
          <w:rFonts w:eastAsia="黑体"/>
          <w:bCs/>
          <w:color w:val="auto"/>
          <w:kern w:val="44"/>
          <w:highlight w:val="none"/>
        </w:rPr>
        <w:t>”</w:t>
      </w:r>
      <w:r>
        <w:rPr>
          <w:b/>
          <w:bCs/>
          <w:color w:val="auto"/>
          <w:highlight w:val="none"/>
        </w:rPr>
        <w:t>招商新模式</w:t>
      </w:r>
      <w:bookmarkEnd w:id="28"/>
      <w:bookmarkEnd w:id="29"/>
      <w:bookmarkEnd w:id="30"/>
      <w:bookmarkEnd w:id="31"/>
    </w:p>
    <w:p>
      <w:pPr>
        <w:pageBreakBefore w:val="0"/>
        <w:widowControl w:val="0"/>
        <w:kinsoku/>
        <w:wordWrap/>
        <w:overflowPunct/>
        <w:topLinePunct w:val="0"/>
        <w:autoSpaceDE/>
        <w:autoSpaceDN/>
        <w:bidi w:val="0"/>
        <w:adjustRightInd/>
        <w:snapToGrid/>
        <w:spacing w:beforeLines="0" w:afterLines="0" w:line="580" w:lineRule="exact"/>
        <w:textAlignment w:val="auto"/>
        <w:rPr>
          <w:color w:val="auto"/>
          <w:highlight w:val="none"/>
        </w:rPr>
      </w:pPr>
      <w:r>
        <w:rPr>
          <w:color w:val="auto"/>
          <w:highlight w:val="none"/>
        </w:rPr>
        <w:t>南昌市大力推</w:t>
      </w:r>
      <w:r>
        <w:rPr>
          <w:rFonts w:hint="eastAsia"/>
          <w:color w:val="auto"/>
          <w:highlight w:val="none"/>
          <w:lang w:eastAsia="zh-CN"/>
        </w:rPr>
        <w:t>行</w:t>
      </w:r>
      <w:r>
        <w:rPr>
          <w:color w:val="auto"/>
          <w:highlight w:val="none"/>
        </w:rPr>
        <w:t>“轻资产、重资本”模式，有效结合“政府引导”和“市场运作”，提前建设标准厂房，缩短了新落户企业花费在非生产性建设上的投入和时间，加快了项目落户投产速度，提高了项目的净资产回报率。以这种模式，吸引了欧菲未来科技园、华勤南昌制造中心等一批重点项目落地，加速打造以电子信息产业为主导的新型工业区。</w:t>
      </w:r>
    </w:p>
    <w:p>
      <w:pPr>
        <w:pageBreakBefore w:val="0"/>
        <w:widowControl w:val="0"/>
        <w:kinsoku/>
        <w:wordWrap/>
        <w:overflowPunct/>
        <w:topLinePunct w:val="0"/>
        <w:autoSpaceDE/>
        <w:autoSpaceDN/>
        <w:bidi w:val="0"/>
        <w:adjustRightInd/>
        <w:snapToGrid/>
        <w:spacing w:beforeLines="0" w:afterLines="0" w:line="580" w:lineRule="exact"/>
        <w:ind w:firstLine="643"/>
        <w:textAlignment w:val="auto"/>
        <w:outlineLvl w:val="2"/>
        <w:rPr>
          <w:b/>
          <w:bCs/>
          <w:color w:val="auto"/>
          <w:highlight w:val="none"/>
        </w:rPr>
      </w:pPr>
      <w:bookmarkStart w:id="32" w:name="_Toc63181166"/>
      <w:bookmarkStart w:id="33" w:name="_Toc61619039"/>
      <w:bookmarkStart w:id="34" w:name="_Toc88257123"/>
      <w:bookmarkStart w:id="35" w:name="_Toc1287799130"/>
      <w:r>
        <w:rPr>
          <w:b/>
          <w:bCs/>
          <w:color w:val="auto"/>
          <w:highlight w:val="none"/>
        </w:rPr>
        <w:t>2、以大型会展品牌效应构建产业集聚</w:t>
      </w:r>
      <w:bookmarkEnd w:id="32"/>
      <w:bookmarkEnd w:id="33"/>
      <w:bookmarkEnd w:id="34"/>
      <w:bookmarkEnd w:id="35"/>
    </w:p>
    <w:p>
      <w:pPr>
        <w:pStyle w:val="10"/>
        <w:pageBreakBefore w:val="0"/>
        <w:widowControl w:val="0"/>
        <w:kinsoku/>
        <w:wordWrap/>
        <w:overflowPunct/>
        <w:topLinePunct w:val="0"/>
        <w:autoSpaceDE/>
        <w:autoSpaceDN/>
        <w:bidi w:val="0"/>
        <w:adjustRightInd/>
        <w:snapToGrid/>
        <w:spacing w:beforeLines="0" w:afterLines="0" w:line="580" w:lineRule="exact"/>
        <w:jc w:val="both"/>
        <w:textAlignment w:val="auto"/>
        <w:rPr>
          <w:color w:val="auto"/>
          <w:highlight w:val="none"/>
        </w:rPr>
      </w:pPr>
      <w:r>
        <w:rPr>
          <w:color w:val="auto"/>
          <w:highlight w:val="none"/>
        </w:rPr>
        <w:t>南昌市通过打造“南昌光谷”品牌，成立光电产业联盟，集聚了上百家光电企业，构建了LED产业上中下游全产品生产线，推动了产业研发应用区内整合。</w:t>
      </w:r>
      <w:r>
        <w:rPr>
          <w:rFonts w:hint="eastAsia"/>
          <w:color w:val="auto"/>
          <w:highlight w:val="none"/>
        </w:rPr>
        <w:t>南昌</w:t>
      </w:r>
      <w:r>
        <w:rPr>
          <w:color w:val="auto"/>
          <w:highlight w:val="none"/>
        </w:rPr>
        <w:t>连续举办</w:t>
      </w:r>
      <w:r>
        <w:rPr>
          <w:rFonts w:hint="eastAsia"/>
          <w:color w:val="auto"/>
          <w:highlight w:val="none"/>
          <w:lang w:eastAsia="zh-CN"/>
        </w:rPr>
        <w:t>四届</w:t>
      </w:r>
      <w:r>
        <w:rPr>
          <w:color w:val="auto"/>
          <w:highlight w:val="none"/>
        </w:rPr>
        <w:t>世界VR产业大会，</w:t>
      </w:r>
      <w:r>
        <w:rPr>
          <w:rFonts w:hint="eastAsia"/>
          <w:color w:val="auto"/>
          <w:highlight w:val="none"/>
          <w:lang w:eastAsia="zh-CN"/>
        </w:rPr>
        <w:t>签约项目达</w:t>
      </w:r>
      <w:r>
        <w:rPr>
          <w:rFonts w:hint="eastAsia"/>
          <w:color w:val="auto"/>
          <w:highlight w:val="none"/>
          <w:lang w:val="en-US" w:eastAsia="zh-CN"/>
        </w:rPr>
        <w:t>251个</w:t>
      </w:r>
      <w:r>
        <w:rPr>
          <w:color w:val="auto"/>
          <w:highlight w:val="none"/>
        </w:rPr>
        <w:t>，总投资额达</w:t>
      </w:r>
      <w:r>
        <w:rPr>
          <w:rFonts w:hint="eastAsia"/>
          <w:color w:val="auto"/>
          <w:highlight w:val="none"/>
          <w:lang w:val="en-US" w:eastAsia="zh-CN"/>
        </w:rPr>
        <w:t>1596</w:t>
      </w:r>
      <w:r>
        <w:rPr>
          <w:color w:val="auto"/>
          <w:highlight w:val="none"/>
        </w:rPr>
        <w:t>亿元</w:t>
      </w:r>
      <w:r>
        <w:rPr>
          <w:rFonts w:hint="eastAsia"/>
          <w:color w:val="auto"/>
          <w:highlight w:val="none"/>
        </w:rPr>
        <w:t>，</w:t>
      </w:r>
      <w:r>
        <w:rPr>
          <w:color w:val="auto"/>
          <w:highlight w:val="none"/>
        </w:rPr>
        <w:t>吸引了包括微软、高通、华为、阿里、紫光、海康威视在内的国内外领军企业在南昌进行VR产业研发和应用拓展。</w:t>
      </w:r>
    </w:p>
    <w:p>
      <w:pPr>
        <w:pageBreakBefore w:val="0"/>
        <w:widowControl w:val="0"/>
        <w:kinsoku/>
        <w:wordWrap/>
        <w:overflowPunct/>
        <w:topLinePunct w:val="0"/>
        <w:autoSpaceDE/>
        <w:autoSpaceDN/>
        <w:bidi w:val="0"/>
        <w:adjustRightInd/>
        <w:snapToGrid/>
        <w:spacing w:beforeLines="0" w:afterLines="0" w:line="580" w:lineRule="exact"/>
        <w:ind w:firstLine="643"/>
        <w:textAlignment w:val="auto"/>
        <w:outlineLvl w:val="2"/>
        <w:rPr>
          <w:b/>
          <w:bCs/>
          <w:color w:val="auto"/>
          <w:highlight w:val="none"/>
        </w:rPr>
      </w:pPr>
      <w:bookmarkStart w:id="36" w:name="_Toc63181167"/>
      <w:bookmarkStart w:id="37" w:name="_Toc917525953"/>
      <w:bookmarkStart w:id="38" w:name="_Toc61619040"/>
      <w:bookmarkStart w:id="39" w:name="_Toc88257124"/>
      <w:r>
        <w:rPr>
          <w:b/>
          <w:bCs/>
          <w:color w:val="auto"/>
          <w:highlight w:val="none"/>
        </w:rPr>
        <w:t>3、联合共建创新平台提升产业化能力</w:t>
      </w:r>
      <w:bookmarkEnd w:id="36"/>
      <w:bookmarkEnd w:id="37"/>
      <w:bookmarkEnd w:id="38"/>
      <w:bookmarkEnd w:id="39"/>
    </w:p>
    <w:p>
      <w:pPr>
        <w:pageBreakBefore w:val="0"/>
        <w:widowControl w:val="0"/>
        <w:kinsoku/>
        <w:wordWrap/>
        <w:overflowPunct/>
        <w:topLinePunct w:val="0"/>
        <w:autoSpaceDE/>
        <w:autoSpaceDN/>
        <w:bidi w:val="0"/>
        <w:adjustRightInd/>
        <w:snapToGrid/>
        <w:spacing w:beforeLines="0" w:afterLines="0" w:line="580" w:lineRule="exact"/>
        <w:textAlignment w:val="auto"/>
        <w:rPr>
          <w:color w:val="auto"/>
          <w:highlight w:val="none"/>
        </w:rPr>
      </w:pPr>
      <w:r>
        <w:rPr>
          <w:color w:val="auto"/>
          <w:highlight w:val="none"/>
        </w:rPr>
        <w:t>“十三五”期间，南昌引进了联想新视界、海康威视等重点企业的研发中心，加强以企业为主体的创新能力提升。</w:t>
      </w:r>
      <w:r>
        <w:rPr>
          <w:rFonts w:hint="eastAsia"/>
          <w:color w:val="auto"/>
          <w:highlight w:val="none"/>
        </w:rPr>
        <w:t>南昌VR研究院成功获批省级VR创新中心，并通过与全国科研院所开展合作、整合国内外顶级行业资源等，成立了由清华、北航、北理工、上海理工的专家学者组成的专家委员会，组建了高规格的虚拟现实制造业创新联盟</w:t>
      </w:r>
      <w:r>
        <w:rPr>
          <w:rFonts w:hint="eastAsia"/>
          <w:color w:val="auto"/>
          <w:highlight w:val="none"/>
          <w:lang w:eastAsia="zh-CN"/>
        </w:rPr>
        <w:t>，</w:t>
      </w:r>
      <w:r>
        <w:rPr>
          <w:rFonts w:hint="eastAsia"/>
          <w:color w:val="auto"/>
          <w:highlight w:val="none"/>
        </w:rPr>
        <w:t>积极创建国家级VR制造业创新中心。</w:t>
      </w:r>
      <w:r>
        <w:rPr>
          <w:color w:val="auto"/>
          <w:highlight w:val="none"/>
        </w:rPr>
        <w:t>实施LED全球合伙人计划，通过“技术+资本+产业园+共享制造生产线”四大开放平台，吸引了江西兆驰、易美芯光等行业龙头企业落户南昌，光谷产业园</w:t>
      </w:r>
      <w:r>
        <w:rPr>
          <w:rFonts w:hint="eastAsia"/>
          <w:color w:val="auto"/>
          <w:highlight w:val="none"/>
          <w:lang w:eastAsia="zh-CN"/>
        </w:rPr>
        <w:t>不断壮大规模</w:t>
      </w:r>
      <w:r>
        <w:rPr>
          <w:color w:val="auto"/>
          <w:highlight w:val="none"/>
        </w:rPr>
        <w:t>。</w:t>
      </w:r>
    </w:p>
    <w:p>
      <w:pPr>
        <w:pageBreakBefore w:val="0"/>
        <w:widowControl w:val="0"/>
        <w:kinsoku/>
        <w:wordWrap/>
        <w:overflowPunct/>
        <w:topLinePunct w:val="0"/>
        <w:autoSpaceDE/>
        <w:autoSpaceDN/>
        <w:bidi w:val="0"/>
        <w:adjustRightInd/>
        <w:snapToGrid/>
        <w:spacing w:beforeLines="0" w:afterLines="0" w:line="580" w:lineRule="exact"/>
        <w:textAlignment w:val="auto"/>
        <w:rPr>
          <w:color w:val="auto"/>
          <w:highlight w:val="none"/>
        </w:rPr>
      </w:pPr>
      <w:r>
        <w:rPr>
          <w:color w:val="auto"/>
          <w:highlight w:val="none"/>
        </w:rPr>
        <w:t>同时，南昌市电子信息产业发展仍然存在两大问题：</w:t>
      </w:r>
      <w:r>
        <w:rPr>
          <w:b/>
          <w:bCs/>
          <w:color w:val="auto"/>
          <w:highlight w:val="none"/>
        </w:rPr>
        <w:t>一是优势产业动能接续不强。</w:t>
      </w:r>
      <w:r>
        <w:rPr>
          <w:color w:val="auto"/>
          <w:highlight w:val="none"/>
        </w:rPr>
        <w:t>目前，南昌市的LED、移动智能终端产业优势集中在制造环节，产品多为中低端类，创新能力不足，高端技术缺乏，核心人才缺失，产业大而不强，许多上游核心技术甚至需要依赖国外，“卡脖子”风险突出，后续发展可能遇到瓶颈。</w:t>
      </w:r>
      <w:r>
        <w:rPr>
          <w:b/>
          <w:bCs/>
          <w:color w:val="auto"/>
          <w:highlight w:val="none"/>
        </w:rPr>
        <w:t>二是产业生态化发展势能不足。</w:t>
      </w:r>
      <w:r>
        <w:rPr>
          <w:color w:val="auto"/>
          <w:highlight w:val="none"/>
        </w:rPr>
        <w:t>具有行业影响力、话语权的生态主导型企业</w:t>
      </w:r>
      <w:r>
        <w:rPr>
          <w:rFonts w:hint="eastAsia"/>
          <w:color w:val="auto"/>
          <w:highlight w:val="none"/>
        </w:rPr>
        <w:t>仍然</w:t>
      </w:r>
      <w:r>
        <w:rPr>
          <w:color w:val="auto"/>
          <w:highlight w:val="none"/>
        </w:rPr>
        <w:t>严重缺乏，移动智能终端产业存在“缺芯少屏”的问题，芯片、屏幕、传感器、镜头等配套严重不足。LED产业虽然实现了全产业链布局，但主要集中在上游芯片和中游封装环节，下游应用环节</w:t>
      </w:r>
      <w:r>
        <w:rPr>
          <w:rFonts w:hint="eastAsia"/>
          <w:color w:val="auto"/>
          <w:highlight w:val="none"/>
        </w:rPr>
        <w:t>严重</w:t>
      </w:r>
      <w:r>
        <w:rPr>
          <w:color w:val="auto"/>
          <w:highlight w:val="none"/>
        </w:rPr>
        <w:t>欠缺。VR产业链尚没有</w:t>
      </w:r>
      <w:r>
        <w:rPr>
          <w:rFonts w:hint="eastAsia"/>
          <w:color w:val="auto"/>
          <w:highlight w:val="none"/>
          <w:lang w:val="en-US" w:eastAsia="zh-CN"/>
        </w:rPr>
        <w:t>完全</w:t>
      </w:r>
      <w:r>
        <w:rPr>
          <w:color w:val="auto"/>
          <w:highlight w:val="none"/>
        </w:rPr>
        <w:t>形成</w:t>
      </w:r>
      <w:r>
        <w:rPr>
          <w:rFonts w:hint="eastAsia"/>
          <w:color w:val="auto"/>
          <w:highlight w:val="none"/>
        </w:rPr>
        <w:t>。</w:t>
      </w:r>
    </w:p>
    <w:bookmarkEnd w:id="7"/>
    <w:p>
      <w:pPr>
        <w:pageBreakBefore w:val="0"/>
        <w:widowControl w:val="0"/>
        <w:kinsoku/>
        <w:wordWrap/>
        <w:overflowPunct/>
        <w:topLinePunct w:val="0"/>
        <w:autoSpaceDE/>
        <w:autoSpaceDN/>
        <w:bidi w:val="0"/>
        <w:adjustRightInd/>
        <w:snapToGrid/>
        <w:spacing w:beforeLines="0" w:afterLines="0" w:line="580" w:lineRule="exact"/>
        <w:textAlignment w:val="auto"/>
        <w:outlineLvl w:val="0"/>
        <w:rPr>
          <w:rFonts w:eastAsia="黑体"/>
          <w:bCs/>
          <w:color w:val="auto"/>
          <w:kern w:val="44"/>
          <w:highlight w:val="none"/>
        </w:rPr>
      </w:pPr>
      <w:bookmarkStart w:id="40" w:name="_Toc88257125"/>
      <w:bookmarkStart w:id="41" w:name="_Toc1749823442"/>
      <w:bookmarkStart w:id="42" w:name="_Toc30639"/>
      <w:r>
        <w:rPr>
          <w:rFonts w:eastAsia="黑体"/>
          <w:bCs/>
          <w:color w:val="auto"/>
          <w:kern w:val="44"/>
          <w:highlight w:val="none"/>
        </w:rPr>
        <w:t>二、“十四五”发展形势</w:t>
      </w:r>
      <w:bookmarkEnd w:id="40"/>
      <w:bookmarkEnd w:id="41"/>
      <w:bookmarkEnd w:id="42"/>
    </w:p>
    <w:p>
      <w:pPr>
        <w:pageBreakBefore w:val="0"/>
        <w:widowControl w:val="0"/>
        <w:kinsoku/>
        <w:wordWrap/>
        <w:overflowPunct/>
        <w:topLinePunct w:val="0"/>
        <w:autoSpaceDE/>
        <w:autoSpaceDN/>
        <w:bidi w:val="0"/>
        <w:adjustRightInd/>
        <w:snapToGrid/>
        <w:spacing w:beforeLines="0" w:afterLines="0" w:line="580" w:lineRule="exact"/>
        <w:ind w:firstLine="643"/>
        <w:jc w:val="left"/>
        <w:textAlignment w:val="auto"/>
        <w:outlineLvl w:val="1"/>
        <w:rPr>
          <w:rFonts w:eastAsia="楷体_GB2312"/>
          <w:b/>
          <w:bCs/>
          <w:color w:val="auto"/>
          <w:kern w:val="28"/>
          <w:highlight w:val="none"/>
        </w:rPr>
      </w:pPr>
      <w:bookmarkStart w:id="43" w:name="_Toc1492831816"/>
      <w:bookmarkStart w:id="44" w:name="_Toc4614"/>
      <w:bookmarkStart w:id="45" w:name="_Toc88257126"/>
      <w:r>
        <w:rPr>
          <w:rFonts w:eastAsia="楷体_GB2312"/>
          <w:b/>
          <w:bCs/>
          <w:color w:val="auto"/>
          <w:kern w:val="28"/>
          <w:highlight w:val="none"/>
        </w:rPr>
        <w:t>（一）新一代信息技术引领创新为产业发展创造新机遇</w:t>
      </w:r>
      <w:bookmarkEnd w:id="43"/>
      <w:bookmarkEnd w:id="44"/>
      <w:bookmarkEnd w:id="45"/>
    </w:p>
    <w:p>
      <w:pPr>
        <w:pStyle w:val="66"/>
        <w:pageBreakBefore w:val="0"/>
        <w:widowControl w:val="0"/>
        <w:kinsoku/>
        <w:wordWrap/>
        <w:overflowPunct/>
        <w:topLinePunct w:val="0"/>
        <w:autoSpaceDE/>
        <w:autoSpaceDN/>
        <w:bidi w:val="0"/>
        <w:adjustRightInd/>
        <w:snapToGrid/>
        <w:spacing w:beforeLines="0" w:afterLines="0" w:line="580" w:lineRule="exact"/>
        <w:textAlignment w:val="auto"/>
        <w:rPr>
          <w:rFonts w:ascii="Times New Roman" w:hAnsi="Times New Roman"/>
          <w:highlight w:val="none"/>
        </w:rPr>
      </w:pPr>
      <w:r>
        <w:rPr>
          <w:rFonts w:ascii="Times New Roman" w:hAnsi="Times New Roman"/>
          <w:highlight w:val="none"/>
        </w:rPr>
        <w:t>信息技术是当前全球新一轮科技革命和产业变革的主要推动力量。当前，以5G、VR、人工智能、物联网等为代表的新一代信息技术创新活跃、发展迅速，对经济社会各领域的融合赋能作用进一步释放。新基建、数字经济、工业互联网等新业态新热点成为新旧动能转换和经济增长的主要动力源。电子信息领域持续涌现创新亮点，预计热点领域在未来十年将进入新一轮创新活跃期。在新型显示领域，不断涌现mini/micro/硅基OLED等新技术；在移动通信领域，5G移动信息网络加速构建，6G研发加速布局。技术体系愈发呈现开源化、生态化、服务化的演进趋势。在集成电路领域，摩尔定律逼近物理极限，晶圆级集成技术飞速发展，为未来信息技术升级和物理形态重构提供新的可能。在先进计算领域，量子计算、类脑计算等颠覆传统计算存储架构，具备并行计算和指数级可拓展优势。2020年，受新冠肺炎疫情、逆全球化加速、美国大选反复等因素影响，国际货币基金组织（IMF）数次研判全球经济</w:t>
      </w:r>
      <w:r>
        <w:rPr>
          <w:rFonts w:hint="eastAsia" w:ascii="Times New Roman" w:hAnsi="Times New Roman"/>
          <w:highlight w:val="none"/>
        </w:rPr>
        <w:t>处于衰退</w:t>
      </w:r>
      <w:r>
        <w:rPr>
          <w:rFonts w:ascii="Times New Roman" w:hAnsi="Times New Roman"/>
          <w:highlight w:val="none"/>
        </w:rPr>
        <w:t>态势。但与此同时，电子信息制造业保持平稳增长态势，主要产品出货量呈现正增长，充分展现了电子信息产业发展韧性和活力。</w:t>
      </w:r>
    </w:p>
    <w:p>
      <w:pPr>
        <w:pStyle w:val="66"/>
        <w:pageBreakBefore w:val="0"/>
        <w:widowControl w:val="0"/>
        <w:kinsoku/>
        <w:wordWrap/>
        <w:overflowPunct/>
        <w:topLinePunct w:val="0"/>
        <w:autoSpaceDE/>
        <w:autoSpaceDN/>
        <w:bidi w:val="0"/>
        <w:adjustRightInd/>
        <w:snapToGrid/>
        <w:spacing w:beforeLines="0" w:afterLines="0" w:line="580" w:lineRule="exact"/>
        <w:textAlignment w:val="auto"/>
        <w:rPr>
          <w:rFonts w:ascii="Times New Roman" w:hAnsi="Times New Roman"/>
          <w:highlight w:val="none"/>
        </w:rPr>
      </w:pPr>
      <w:r>
        <w:rPr>
          <w:rFonts w:ascii="Times New Roman" w:hAnsi="Times New Roman"/>
          <w:highlight w:val="none"/>
        </w:rPr>
        <w:t>对南昌市而言，着力发展创新活跃、技术密集、带动性强的电子信息产业，是推动南昌市经济发展迈向中高端的重要举措。在信息技术引领的新一轮科技革命和产业变革浪潮中，南昌市可以抢抓三大“换道超车”新机遇：一是成熟市场发展放缓，但是电子信息技术的软硬件底层架构正在酝酿重构，为南昌市跻身传统成熟领域提供难得契机。二是新兴热点领域创新活跃，发展日新月异，南昌市有望以较强的产业综合实力抢占竞争先机。三是信息技术的开源化趋势、计算普惠的推广，为南昌市参与前沿领域创新提供了更丰沃的土壤。</w:t>
      </w:r>
    </w:p>
    <w:p>
      <w:pPr>
        <w:pageBreakBefore w:val="0"/>
        <w:widowControl w:val="0"/>
        <w:kinsoku/>
        <w:wordWrap/>
        <w:overflowPunct/>
        <w:topLinePunct w:val="0"/>
        <w:autoSpaceDE/>
        <w:autoSpaceDN/>
        <w:bidi w:val="0"/>
        <w:adjustRightInd/>
        <w:snapToGrid/>
        <w:spacing w:beforeLines="0" w:afterLines="0" w:line="580" w:lineRule="exact"/>
        <w:ind w:firstLine="643"/>
        <w:jc w:val="left"/>
        <w:textAlignment w:val="auto"/>
        <w:outlineLvl w:val="1"/>
        <w:rPr>
          <w:rFonts w:eastAsia="楷体_GB2312"/>
          <w:b/>
          <w:bCs/>
          <w:color w:val="auto"/>
          <w:kern w:val="28"/>
          <w:highlight w:val="none"/>
        </w:rPr>
      </w:pPr>
      <w:bookmarkStart w:id="46" w:name="_Toc144905820"/>
      <w:bookmarkStart w:id="47" w:name="_Toc88257127"/>
      <w:bookmarkStart w:id="48" w:name="_Toc1054"/>
      <w:r>
        <w:rPr>
          <w:rFonts w:eastAsia="楷体_GB2312"/>
          <w:b/>
          <w:bCs/>
          <w:color w:val="auto"/>
          <w:kern w:val="28"/>
          <w:highlight w:val="none"/>
        </w:rPr>
        <w:t>（二）高质量发展对电子信息产业提出新要求</w:t>
      </w:r>
      <w:bookmarkEnd w:id="46"/>
      <w:bookmarkEnd w:id="47"/>
      <w:bookmarkEnd w:id="48"/>
    </w:p>
    <w:p>
      <w:pPr>
        <w:pStyle w:val="66"/>
        <w:pageBreakBefore w:val="0"/>
        <w:widowControl w:val="0"/>
        <w:kinsoku/>
        <w:wordWrap/>
        <w:overflowPunct/>
        <w:topLinePunct w:val="0"/>
        <w:autoSpaceDE/>
        <w:autoSpaceDN/>
        <w:bidi w:val="0"/>
        <w:adjustRightInd/>
        <w:snapToGrid/>
        <w:spacing w:beforeLines="0" w:afterLines="0" w:line="580" w:lineRule="exact"/>
        <w:textAlignment w:val="auto"/>
        <w:rPr>
          <w:rFonts w:ascii="Times New Roman" w:hAnsi="Times New Roman"/>
          <w:szCs w:val="32"/>
          <w:highlight w:val="none"/>
        </w:rPr>
      </w:pPr>
      <w:r>
        <w:rPr>
          <w:rFonts w:ascii="Times New Roman" w:hAnsi="Times New Roman"/>
          <w:szCs w:val="32"/>
          <w:highlight w:val="none"/>
        </w:rPr>
        <w:t>电子信息产业是我国转变经济发展模式、增强产业竞争实力的重要支撑。经过多年发展，我国电子信息产业总体上已经形成相对完整的产业链，主要电子产品产量位居全球前列。但是，我国在集成电路</w:t>
      </w:r>
      <w:r>
        <w:rPr>
          <w:rFonts w:hint="eastAsia" w:ascii="Times New Roman" w:hAnsi="Times New Roman"/>
          <w:szCs w:val="32"/>
          <w:highlight w:val="none"/>
        </w:rPr>
        <w:t>、</w:t>
      </w:r>
      <w:r>
        <w:rPr>
          <w:rFonts w:ascii="Times New Roman" w:hAnsi="Times New Roman"/>
          <w:szCs w:val="32"/>
          <w:highlight w:val="none"/>
        </w:rPr>
        <w:t>关键元器件</w:t>
      </w:r>
      <w:r>
        <w:rPr>
          <w:rFonts w:hint="eastAsia" w:ascii="Times New Roman" w:hAnsi="Times New Roman"/>
          <w:szCs w:val="32"/>
          <w:highlight w:val="none"/>
        </w:rPr>
        <w:t>、</w:t>
      </w:r>
      <w:r>
        <w:rPr>
          <w:rFonts w:ascii="Times New Roman" w:hAnsi="Times New Roman"/>
          <w:szCs w:val="32"/>
          <w:highlight w:val="none"/>
        </w:rPr>
        <w:t>电子材料</w:t>
      </w:r>
      <w:r>
        <w:rPr>
          <w:rFonts w:hint="eastAsia" w:ascii="Times New Roman" w:hAnsi="Times New Roman"/>
          <w:szCs w:val="32"/>
          <w:highlight w:val="none"/>
        </w:rPr>
        <w:t>、</w:t>
      </w:r>
      <w:r>
        <w:rPr>
          <w:rFonts w:ascii="Times New Roman" w:hAnsi="Times New Roman"/>
          <w:szCs w:val="32"/>
          <w:highlight w:val="none"/>
        </w:rPr>
        <w:t>关键基础软件</w:t>
      </w:r>
      <w:r>
        <w:rPr>
          <w:rFonts w:hint="eastAsia" w:ascii="Times New Roman" w:hAnsi="Times New Roman"/>
          <w:szCs w:val="32"/>
          <w:highlight w:val="none"/>
        </w:rPr>
        <w:t>、</w:t>
      </w:r>
      <w:r>
        <w:rPr>
          <w:rFonts w:ascii="Times New Roman" w:hAnsi="Times New Roman"/>
          <w:szCs w:val="32"/>
          <w:highlight w:val="none"/>
        </w:rPr>
        <w:t>关键生产装备等重要环节自给能力不足，存在“卡脖子”难题，对外贸市场依赖度较高，“两头在外”问题较为明显。当前，我国已转向高质量发展阶段，“十四五”开启</w:t>
      </w:r>
      <w:r>
        <w:rPr>
          <w:rFonts w:hint="eastAsia" w:ascii="Times New Roman" w:hAnsi="Times New Roman"/>
          <w:szCs w:val="32"/>
          <w:highlight w:val="none"/>
          <w:lang w:eastAsia="zh-CN"/>
        </w:rPr>
        <w:t>了</w:t>
      </w:r>
      <w:r>
        <w:rPr>
          <w:rFonts w:ascii="Times New Roman" w:hAnsi="Times New Roman"/>
          <w:szCs w:val="32"/>
          <w:highlight w:val="none"/>
        </w:rPr>
        <w:t>全面建设社会主义现代化国家新征程，必然对电子信息产业发展提出新要求。新形势下，单纯追求产能上规模的粗放发展思路有悖高质量发展的</w:t>
      </w:r>
      <w:r>
        <w:rPr>
          <w:rFonts w:hint="eastAsia" w:ascii="Times New Roman" w:hAnsi="Times New Roman"/>
          <w:szCs w:val="32"/>
          <w:highlight w:val="none"/>
        </w:rPr>
        <w:t>内涵</w:t>
      </w:r>
      <w:r>
        <w:rPr>
          <w:rFonts w:hint="eastAsia" w:ascii="Times New Roman" w:hAnsi="Times New Roman"/>
          <w:szCs w:val="32"/>
          <w:highlight w:val="none"/>
          <w:lang w:eastAsia="zh-CN"/>
        </w:rPr>
        <w:t>。我们</w:t>
      </w:r>
      <w:r>
        <w:rPr>
          <w:rFonts w:ascii="Times New Roman" w:hAnsi="Times New Roman"/>
          <w:szCs w:val="32"/>
          <w:highlight w:val="none"/>
        </w:rPr>
        <w:t>必须坚持改革创新的核心地位，着力提升发展质量效益，以单位亩产论英雄。党的十九届五中全会提出要补短板、锻长板，推动产业基础高级化、产业链现代化，提升产业链供应链竞争力。对于电子信息领域</w:t>
      </w:r>
      <w:r>
        <w:rPr>
          <w:rFonts w:hint="eastAsia" w:ascii="Times New Roman" w:hAnsi="Times New Roman"/>
          <w:szCs w:val="32"/>
          <w:highlight w:val="none"/>
          <w:lang w:eastAsia="zh-CN"/>
        </w:rPr>
        <w:t>而言</w:t>
      </w:r>
      <w:r>
        <w:rPr>
          <w:rFonts w:ascii="Times New Roman" w:hAnsi="Times New Roman"/>
          <w:szCs w:val="32"/>
          <w:highlight w:val="none"/>
        </w:rPr>
        <w:t>，既要坚持自主创新，突破“卡脖子”关键技术，切实提升产品附加值水平，</w:t>
      </w:r>
      <w:r>
        <w:rPr>
          <w:rFonts w:hint="eastAsia" w:ascii="Times New Roman" w:hAnsi="Times New Roman"/>
          <w:szCs w:val="32"/>
          <w:highlight w:val="none"/>
          <w:lang w:eastAsia="zh-CN"/>
        </w:rPr>
        <w:t>着力</w:t>
      </w:r>
      <w:r>
        <w:rPr>
          <w:rFonts w:ascii="Times New Roman" w:hAnsi="Times New Roman"/>
          <w:szCs w:val="32"/>
          <w:highlight w:val="none"/>
        </w:rPr>
        <w:t>增强企业竞争力；又要</w:t>
      </w:r>
      <w:r>
        <w:rPr>
          <w:rFonts w:hint="eastAsia" w:ascii="Times New Roman" w:hAnsi="Times New Roman"/>
          <w:szCs w:val="32"/>
          <w:highlight w:val="none"/>
          <w:lang w:eastAsia="zh-CN"/>
        </w:rPr>
        <w:t>坚持</w:t>
      </w:r>
      <w:r>
        <w:rPr>
          <w:rFonts w:ascii="Times New Roman" w:hAnsi="Times New Roman"/>
          <w:szCs w:val="32"/>
          <w:highlight w:val="none"/>
        </w:rPr>
        <w:t>扩大开放，加强区域协同，积极融入区域产业分工合作生态体系，助推国内大循环为主、国际国内双循环相互促进的新发展格局构建。</w:t>
      </w:r>
    </w:p>
    <w:p>
      <w:pPr>
        <w:pStyle w:val="66"/>
        <w:pageBreakBefore w:val="0"/>
        <w:widowControl w:val="0"/>
        <w:kinsoku/>
        <w:wordWrap/>
        <w:overflowPunct/>
        <w:topLinePunct w:val="0"/>
        <w:autoSpaceDE/>
        <w:autoSpaceDN/>
        <w:bidi w:val="0"/>
        <w:adjustRightInd/>
        <w:snapToGrid/>
        <w:spacing w:beforeLines="0" w:afterLines="0" w:line="580" w:lineRule="exact"/>
        <w:textAlignment w:val="auto"/>
        <w:rPr>
          <w:rFonts w:ascii="Times New Roman" w:hAnsi="Times New Roman"/>
          <w:szCs w:val="32"/>
          <w:highlight w:val="none"/>
        </w:rPr>
      </w:pPr>
      <w:r>
        <w:rPr>
          <w:rFonts w:ascii="Times New Roman" w:hAnsi="Times New Roman"/>
          <w:szCs w:val="32"/>
          <w:highlight w:val="none"/>
        </w:rPr>
        <w:t>对南昌市而言，高质量发展的新要求为实现电子信息产业跨越式发展提供了战略性指引。一是着力提升创新能力。积极培育新技术新产品新业态，增强企业单位亩产效益，打造技术和知识密集度高的先进电子信息产业集群。二是高度重视数据要素对产业发展的支撑作用。加强新型数字基础设施的系统谋划和前瞻性布局，加速战略性前瞻性数字核心技术突破。三是要推进电子信息产业和各行业深度融合。持续推动新一代信息技术在各领域场景的创新应用，加快发展现代信息技术服务业，助力现代化经济体系建设。</w:t>
      </w:r>
    </w:p>
    <w:p>
      <w:pPr>
        <w:pageBreakBefore w:val="0"/>
        <w:widowControl w:val="0"/>
        <w:kinsoku/>
        <w:wordWrap/>
        <w:overflowPunct/>
        <w:topLinePunct w:val="0"/>
        <w:autoSpaceDE/>
        <w:autoSpaceDN/>
        <w:bidi w:val="0"/>
        <w:adjustRightInd/>
        <w:snapToGrid/>
        <w:spacing w:beforeLines="0" w:afterLines="0" w:line="580" w:lineRule="exact"/>
        <w:ind w:firstLine="643"/>
        <w:jc w:val="left"/>
        <w:textAlignment w:val="auto"/>
        <w:outlineLvl w:val="1"/>
        <w:rPr>
          <w:rFonts w:eastAsia="楷体_GB2312"/>
          <w:b/>
          <w:bCs/>
          <w:color w:val="auto"/>
          <w:kern w:val="28"/>
          <w:highlight w:val="none"/>
        </w:rPr>
      </w:pPr>
      <w:bookmarkStart w:id="49" w:name="_Toc15153"/>
      <w:bookmarkStart w:id="50" w:name="_Toc88257128"/>
      <w:bookmarkStart w:id="51" w:name="_Toc137797875"/>
      <w:bookmarkStart w:id="52" w:name="_Toc2285"/>
      <w:r>
        <w:rPr>
          <w:rFonts w:eastAsia="楷体_GB2312"/>
          <w:b/>
          <w:bCs/>
          <w:color w:val="auto"/>
          <w:kern w:val="28"/>
          <w:highlight w:val="none"/>
        </w:rPr>
        <w:t>（三）外部复杂环境使电子信息产业面临不确定性挑战</w:t>
      </w:r>
      <w:bookmarkEnd w:id="49"/>
      <w:bookmarkEnd w:id="50"/>
      <w:bookmarkEnd w:id="51"/>
    </w:p>
    <w:bookmarkEnd w:id="52"/>
    <w:p>
      <w:pPr>
        <w:pStyle w:val="66"/>
        <w:pageBreakBefore w:val="0"/>
        <w:widowControl w:val="0"/>
        <w:kinsoku/>
        <w:wordWrap/>
        <w:overflowPunct/>
        <w:topLinePunct w:val="0"/>
        <w:autoSpaceDE/>
        <w:autoSpaceDN/>
        <w:bidi w:val="0"/>
        <w:adjustRightInd/>
        <w:snapToGrid/>
        <w:spacing w:beforeLines="0" w:afterLines="0" w:line="580" w:lineRule="exact"/>
        <w:textAlignment w:val="auto"/>
        <w:rPr>
          <w:rFonts w:ascii="Times New Roman" w:hAnsi="Times New Roman"/>
          <w:szCs w:val="32"/>
          <w:highlight w:val="none"/>
        </w:rPr>
      </w:pPr>
      <w:r>
        <w:rPr>
          <w:rFonts w:ascii="Times New Roman" w:hAnsi="Times New Roman"/>
          <w:szCs w:val="32"/>
          <w:highlight w:val="none"/>
        </w:rPr>
        <w:t>当前，世界经济曲折低迷、发展动能不足，单边主义、保护主义、霸权主义抬头。总体来说，我国电子信息产业将长期面临复杂的国际环境。</w:t>
      </w:r>
      <w:r>
        <w:rPr>
          <w:rFonts w:ascii="Times New Roman" w:hAnsi="Times New Roman"/>
          <w:bCs/>
          <w:szCs w:val="32"/>
          <w:highlight w:val="none"/>
        </w:rPr>
        <w:t>一方面，围绕新一代信息技术产业的全球竞争日趋激烈，同时，贸易保护主义抬头，</w:t>
      </w:r>
      <w:r>
        <w:rPr>
          <w:rFonts w:ascii="Times New Roman" w:hAnsi="Times New Roman"/>
          <w:szCs w:val="32"/>
          <w:highlight w:val="none"/>
        </w:rPr>
        <w:t>地缘政治对抗深刻影响了电子信息产业的国际经贸格局，全球产业链供应链体系调整呈现加速态势。特别是2018年以来中美贸易摩擦不断升级，美加大对我高新技术产业的遏制力度，将华为、中兴等电子信息骨干企业列入出口管制“实体清单”。此外，新冠疫情的爆发加剧了发达国家对本土产业链“空心化”的担忧，美国、日本等国均在推进制造业回迁。</w:t>
      </w:r>
      <w:r>
        <w:rPr>
          <w:rFonts w:ascii="Times New Roman" w:hAnsi="Times New Roman"/>
          <w:bCs/>
          <w:szCs w:val="32"/>
          <w:highlight w:val="none"/>
        </w:rPr>
        <w:t>另一方面，全球化、多边主义仍将是未来产业发展的主流，中国参与全球产业链供应链的程度越来越深。</w:t>
      </w:r>
      <w:r>
        <w:rPr>
          <w:rFonts w:ascii="Times New Roman" w:hAnsi="Times New Roman"/>
          <w:szCs w:val="32"/>
          <w:highlight w:val="none"/>
        </w:rPr>
        <w:t>我国稳定的市场发展环境、各行业展现的创新活力，以及在抗击新冠疫情中展现的强大应对能力和经济发展韧性，都凸显了我国对比其他新兴市场的显著优势。随着“一带一路”倡议持续推进，中国与沿线国家在电子信息等领域国际合作不断加强，越来越多中国企业“走出去”开拓海外市场空间。</w:t>
      </w:r>
    </w:p>
    <w:p>
      <w:pPr>
        <w:pStyle w:val="66"/>
        <w:pageBreakBefore w:val="0"/>
        <w:widowControl w:val="0"/>
        <w:kinsoku/>
        <w:wordWrap/>
        <w:overflowPunct/>
        <w:topLinePunct w:val="0"/>
        <w:autoSpaceDE/>
        <w:autoSpaceDN/>
        <w:bidi w:val="0"/>
        <w:adjustRightInd/>
        <w:snapToGrid/>
        <w:spacing w:beforeLines="0" w:afterLines="0" w:line="580" w:lineRule="exact"/>
        <w:textAlignment w:val="auto"/>
        <w:rPr>
          <w:rFonts w:ascii="Times New Roman" w:hAnsi="Times New Roman"/>
          <w:szCs w:val="32"/>
          <w:highlight w:val="none"/>
        </w:rPr>
      </w:pPr>
      <w:r>
        <w:rPr>
          <w:rFonts w:ascii="Times New Roman" w:hAnsi="Times New Roman"/>
          <w:szCs w:val="32"/>
          <w:highlight w:val="none"/>
        </w:rPr>
        <w:t>对南昌市而言，对于不确定性带来的挑战，积极应对也可转危为机。一方面，中美博弈持续升级背景下，我国企业坚定技术自主创新发展道路，加强在国内布局，南昌市可以借此尽快提升在国内电子信息产业链的地位。另一方面，跨国企业都在加速全球化布局以对冲风险，南昌市可以积极打造国际制造业基地，在全球电子信息产业链和创新网络中跻占一席之地。</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firstLine="640"/>
        <w:textAlignment w:val="auto"/>
        <w:rPr>
          <w:rFonts w:eastAsia="仿宋_GB2312"/>
          <w:b w:val="0"/>
          <w:color w:val="auto"/>
          <w:highlight w:val="none"/>
        </w:rPr>
      </w:pPr>
      <w:bookmarkStart w:id="53" w:name="_Toc15318"/>
      <w:bookmarkStart w:id="54" w:name="_Toc315894641"/>
      <w:bookmarkStart w:id="55" w:name="_Toc88257129"/>
      <w:bookmarkStart w:id="56" w:name="_Toc18120"/>
      <w:r>
        <w:rPr>
          <w:b w:val="0"/>
          <w:color w:val="auto"/>
          <w:highlight w:val="none"/>
        </w:rPr>
        <w:t>三、总体要求</w:t>
      </w:r>
      <w:bookmarkEnd w:id="53"/>
      <w:bookmarkEnd w:id="54"/>
      <w:bookmarkEnd w:id="55"/>
      <w:bookmarkEnd w:id="56"/>
    </w:p>
    <w:p>
      <w:pPr>
        <w:pageBreakBefore w:val="0"/>
        <w:widowControl w:val="0"/>
        <w:kinsoku/>
        <w:wordWrap/>
        <w:overflowPunct/>
        <w:topLinePunct w:val="0"/>
        <w:autoSpaceDE/>
        <w:autoSpaceDN/>
        <w:bidi w:val="0"/>
        <w:adjustRightInd/>
        <w:snapToGrid/>
        <w:spacing w:beforeLines="0" w:afterLines="0" w:line="580" w:lineRule="exact"/>
        <w:ind w:firstLine="643"/>
        <w:jc w:val="left"/>
        <w:textAlignment w:val="auto"/>
        <w:outlineLvl w:val="1"/>
        <w:rPr>
          <w:rFonts w:eastAsia="楷体_GB2312"/>
          <w:b/>
          <w:bCs/>
          <w:color w:val="auto"/>
          <w:kern w:val="28"/>
          <w:highlight w:val="none"/>
        </w:rPr>
      </w:pPr>
      <w:bookmarkStart w:id="57" w:name="_Toc88257130"/>
      <w:bookmarkStart w:id="58" w:name="_Toc1476228146"/>
      <w:bookmarkStart w:id="59" w:name="_Toc7799"/>
      <w:r>
        <w:rPr>
          <w:rFonts w:eastAsia="楷体_GB2312"/>
          <w:b/>
          <w:bCs/>
          <w:color w:val="auto"/>
          <w:kern w:val="28"/>
          <w:highlight w:val="none"/>
        </w:rPr>
        <w:t>（一）指导思想</w:t>
      </w:r>
      <w:bookmarkEnd w:id="57"/>
      <w:bookmarkEnd w:id="58"/>
      <w:bookmarkEnd w:id="59"/>
    </w:p>
    <w:p>
      <w:pPr>
        <w:pStyle w:val="66"/>
        <w:pageBreakBefore w:val="0"/>
        <w:widowControl w:val="0"/>
        <w:kinsoku/>
        <w:wordWrap/>
        <w:overflowPunct/>
        <w:topLinePunct w:val="0"/>
        <w:autoSpaceDE/>
        <w:autoSpaceDN/>
        <w:bidi w:val="0"/>
        <w:adjustRightInd/>
        <w:snapToGrid/>
        <w:spacing w:beforeLines="0" w:afterLines="0" w:line="580" w:lineRule="exact"/>
        <w:textAlignment w:val="auto"/>
        <w:rPr>
          <w:rFonts w:ascii="Times New Roman" w:hAnsi="Times New Roman"/>
          <w:szCs w:val="32"/>
          <w:highlight w:val="none"/>
        </w:rPr>
      </w:pPr>
      <w:r>
        <w:rPr>
          <w:rFonts w:ascii="Times New Roman" w:hAnsi="Times New Roman"/>
          <w:szCs w:val="32"/>
          <w:highlight w:val="none"/>
        </w:rPr>
        <w:t>以习近平新时代中国特色社会主义思想为指导，深入贯彻落实</w:t>
      </w:r>
      <w:r>
        <w:rPr>
          <w:rFonts w:hint="eastAsia" w:ascii="Times New Roman" w:hAnsi="Times New Roman"/>
          <w:szCs w:val="32"/>
          <w:highlight w:val="none"/>
        </w:rPr>
        <w:t>《江西省国民经济和社会发展第十四个五年规划和二〇三五年远景目标纲要》</w:t>
      </w:r>
      <w:r>
        <w:rPr>
          <w:rFonts w:hint="eastAsia" w:hAnsi="仿宋_GB2312" w:cs="仿宋_GB2312"/>
          <w:szCs w:val="32"/>
          <w:highlight w:val="none"/>
        </w:rPr>
        <w:t>《江西省</w:t>
      </w:r>
      <w:r>
        <w:rPr>
          <w:rFonts w:ascii="Times New Roman" w:hAnsi="Times New Roman"/>
          <w:szCs w:val="32"/>
          <w:highlight w:val="none"/>
        </w:rPr>
        <w:t>“十四五”电子信息产业高质量发展规划》等战略部署，坚持高质量跨越式发展首要战略，</w:t>
      </w:r>
      <w:r>
        <w:rPr>
          <w:rFonts w:hint="eastAsia"/>
          <w:highlight w:val="none"/>
        </w:rPr>
        <w:t>立足新发展阶段，贯彻新发展理念，构建新发展格局，</w:t>
      </w:r>
      <w:r>
        <w:rPr>
          <w:rFonts w:ascii="Times New Roman" w:hAnsi="Times New Roman"/>
          <w:szCs w:val="32"/>
          <w:highlight w:val="none"/>
        </w:rPr>
        <w:t>进一步以深化供给侧结构性改革为主线，立足制造基础优势，补充延伸软硬件产业链，构建完善“</w:t>
      </w:r>
      <w:r>
        <w:rPr>
          <w:rFonts w:hint="eastAsia" w:ascii="Times New Roman" w:hAnsi="Times New Roman"/>
          <w:szCs w:val="32"/>
          <w:highlight w:val="none"/>
          <w:lang w:val="en-US" w:eastAsia="zh-CN"/>
        </w:rPr>
        <w:t>4</w:t>
      </w:r>
      <w:r>
        <w:rPr>
          <w:rFonts w:ascii="Times New Roman" w:hAnsi="Times New Roman"/>
          <w:szCs w:val="32"/>
          <w:highlight w:val="none"/>
        </w:rPr>
        <w:t>+N”电子信息产业体系，以集聚创新资源、打造产业生态、推进产城融合为着力点，提升创新链、产业链、资金链、政策链、人才链“五链”融合水平，推动南昌市电子信息产业突破万亿级规模大关，着力打造具有全国影响力的专业化、特色化电子信息产业集群。</w:t>
      </w:r>
    </w:p>
    <w:p>
      <w:pPr>
        <w:pageBreakBefore w:val="0"/>
        <w:widowControl w:val="0"/>
        <w:kinsoku/>
        <w:wordWrap/>
        <w:overflowPunct/>
        <w:topLinePunct w:val="0"/>
        <w:autoSpaceDE/>
        <w:autoSpaceDN/>
        <w:bidi w:val="0"/>
        <w:adjustRightInd/>
        <w:snapToGrid/>
        <w:spacing w:beforeLines="0" w:afterLines="0" w:line="580" w:lineRule="exact"/>
        <w:ind w:firstLine="643"/>
        <w:jc w:val="left"/>
        <w:textAlignment w:val="auto"/>
        <w:outlineLvl w:val="1"/>
        <w:rPr>
          <w:rFonts w:eastAsia="楷体_GB2312"/>
          <w:b/>
          <w:bCs/>
          <w:color w:val="auto"/>
          <w:kern w:val="28"/>
          <w:highlight w:val="none"/>
        </w:rPr>
      </w:pPr>
      <w:bookmarkStart w:id="60" w:name="_Toc1619"/>
      <w:bookmarkStart w:id="61" w:name="_Toc710602372"/>
      <w:bookmarkStart w:id="62" w:name="_Toc88257131"/>
      <w:r>
        <w:rPr>
          <w:rFonts w:eastAsia="楷体_GB2312"/>
          <w:b/>
          <w:bCs/>
          <w:color w:val="auto"/>
          <w:kern w:val="28"/>
          <w:highlight w:val="none"/>
        </w:rPr>
        <w:t>（二）基本原则</w:t>
      </w:r>
      <w:bookmarkEnd w:id="60"/>
      <w:bookmarkEnd w:id="61"/>
      <w:bookmarkEnd w:id="62"/>
      <w:r>
        <w:rPr>
          <w:rFonts w:eastAsia="楷体_GB2312"/>
          <w:b/>
          <w:bCs/>
          <w:color w:val="auto"/>
          <w:kern w:val="28"/>
          <w:highlight w:val="none"/>
        </w:rPr>
        <w:tab/>
      </w:r>
    </w:p>
    <w:p>
      <w:pPr>
        <w:pageBreakBefore w:val="0"/>
        <w:widowControl w:val="0"/>
        <w:kinsoku/>
        <w:wordWrap/>
        <w:overflowPunct/>
        <w:topLinePunct w:val="0"/>
        <w:autoSpaceDE/>
        <w:autoSpaceDN/>
        <w:bidi w:val="0"/>
        <w:adjustRightInd/>
        <w:snapToGrid/>
        <w:spacing w:beforeLines="0" w:afterLines="0" w:line="580" w:lineRule="exact"/>
        <w:ind w:firstLine="643"/>
        <w:textAlignment w:val="auto"/>
        <w:rPr>
          <w:color w:val="auto"/>
          <w:highlight w:val="none"/>
        </w:rPr>
      </w:pPr>
      <w:r>
        <w:rPr>
          <w:b/>
          <w:bCs/>
          <w:color w:val="auto"/>
          <w:highlight w:val="none"/>
        </w:rPr>
        <w:t>创新驱动</w:t>
      </w:r>
      <w:r>
        <w:rPr>
          <w:color w:val="auto"/>
          <w:highlight w:val="none"/>
        </w:rPr>
        <w:t>。紧跟新一代信息技术持续演进趋势，加快增强LED、元器件等领域自主创新能力，以国家实验室、制造业创新中心等载体，推动电子信息产业共性技术创新，确立全省信息技术创新高地。</w:t>
      </w:r>
    </w:p>
    <w:p>
      <w:pPr>
        <w:pageBreakBefore w:val="0"/>
        <w:widowControl w:val="0"/>
        <w:kinsoku/>
        <w:wordWrap/>
        <w:overflowPunct/>
        <w:topLinePunct w:val="0"/>
        <w:autoSpaceDE/>
        <w:autoSpaceDN/>
        <w:bidi w:val="0"/>
        <w:adjustRightInd/>
        <w:snapToGrid/>
        <w:spacing w:beforeLines="0" w:afterLines="0" w:line="580" w:lineRule="exact"/>
        <w:ind w:firstLine="643"/>
        <w:textAlignment w:val="auto"/>
        <w:rPr>
          <w:color w:val="auto"/>
          <w:highlight w:val="none"/>
        </w:rPr>
      </w:pPr>
      <w:r>
        <w:rPr>
          <w:b/>
          <w:color w:val="auto"/>
          <w:highlight w:val="none"/>
        </w:rPr>
        <w:t>优势引领。</w:t>
      </w:r>
      <w:r>
        <w:rPr>
          <w:color w:val="auto"/>
          <w:highlight w:val="none"/>
        </w:rPr>
        <w:t>集中优势资源，重点突破发展潜力大、带动面广、特色突出的产业，立足移动智能终端、LED、VR等产业优势，发挥重点园区和优势区县示范引领作用，带动产业整体提升。</w:t>
      </w:r>
    </w:p>
    <w:p>
      <w:pPr>
        <w:pageBreakBefore w:val="0"/>
        <w:widowControl w:val="0"/>
        <w:kinsoku/>
        <w:wordWrap/>
        <w:overflowPunct/>
        <w:topLinePunct w:val="0"/>
        <w:autoSpaceDE/>
        <w:autoSpaceDN/>
        <w:bidi w:val="0"/>
        <w:adjustRightInd/>
        <w:snapToGrid/>
        <w:spacing w:beforeLines="0" w:afterLines="0" w:line="580" w:lineRule="exact"/>
        <w:ind w:firstLine="643"/>
        <w:textAlignment w:val="auto"/>
        <w:rPr>
          <w:color w:val="auto"/>
          <w:highlight w:val="none"/>
        </w:rPr>
      </w:pPr>
      <w:r>
        <w:rPr>
          <w:b/>
          <w:color w:val="auto"/>
          <w:highlight w:val="none"/>
        </w:rPr>
        <w:t>生态协同。</w:t>
      </w:r>
      <w:r>
        <w:rPr>
          <w:color w:val="auto"/>
          <w:highlight w:val="none"/>
        </w:rPr>
        <w:t>支持企业通过产业链上下游加强协同，</w:t>
      </w:r>
      <w:r>
        <w:rPr>
          <w:rFonts w:hint="eastAsia"/>
          <w:color w:val="auto"/>
          <w:highlight w:val="none"/>
        </w:rPr>
        <w:t>加大对重点产业链的投资拉动，</w:t>
      </w:r>
      <w:r>
        <w:rPr>
          <w:color w:val="auto"/>
          <w:highlight w:val="none"/>
        </w:rPr>
        <w:t>积极引进国际龙头企业，构建产业生态，积极参与国内产业大循环体系构建。</w:t>
      </w:r>
    </w:p>
    <w:p>
      <w:pPr>
        <w:pageBreakBefore w:val="0"/>
        <w:widowControl w:val="0"/>
        <w:kinsoku/>
        <w:wordWrap/>
        <w:overflowPunct/>
        <w:topLinePunct w:val="0"/>
        <w:autoSpaceDE/>
        <w:autoSpaceDN/>
        <w:bidi w:val="0"/>
        <w:adjustRightInd/>
        <w:snapToGrid/>
        <w:spacing w:beforeLines="0" w:afterLines="0" w:line="580" w:lineRule="exact"/>
        <w:ind w:firstLine="643"/>
        <w:textAlignment w:val="auto"/>
        <w:rPr>
          <w:b/>
          <w:color w:val="auto"/>
          <w:highlight w:val="none"/>
        </w:rPr>
      </w:pPr>
      <w:r>
        <w:rPr>
          <w:b/>
          <w:color w:val="auto"/>
          <w:highlight w:val="none"/>
        </w:rPr>
        <w:t>产城融合。</w:t>
      </w:r>
      <w:r>
        <w:rPr>
          <w:bCs/>
          <w:color w:val="auto"/>
          <w:highlight w:val="none"/>
        </w:rPr>
        <w:t>以重点产业园区为载体，推进产城融合发展，将电子信息产业与城市发展、就业、人居紧密结合，鼓励产业园区空间的新一代信息技术应用，探索生产生活协调发展模式，实现寓产于城、寓城于产。</w:t>
      </w:r>
    </w:p>
    <w:p>
      <w:pPr>
        <w:pageBreakBefore w:val="0"/>
        <w:widowControl w:val="0"/>
        <w:kinsoku/>
        <w:wordWrap/>
        <w:overflowPunct/>
        <w:topLinePunct w:val="0"/>
        <w:autoSpaceDE/>
        <w:autoSpaceDN/>
        <w:bidi w:val="0"/>
        <w:adjustRightInd/>
        <w:snapToGrid/>
        <w:spacing w:beforeLines="0" w:afterLines="0" w:line="580" w:lineRule="exact"/>
        <w:ind w:firstLine="643"/>
        <w:jc w:val="left"/>
        <w:textAlignment w:val="auto"/>
        <w:outlineLvl w:val="1"/>
        <w:rPr>
          <w:rFonts w:eastAsia="楷体_GB2312"/>
          <w:b/>
          <w:bCs/>
          <w:color w:val="auto"/>
          <w:kern w:val="28"/>
          <w:highlight w:val="none"/>
        </w:rPr>
      </w:pPr>
      <w:bookmarkStart w:id="63" w:name="_Toc88257132"/>
      <w:bookmarkStart w:id="64" w:name="_Toc10036"/>
      <w:bookmarkStart w:id="65" w:name="_Toc1055432164"/>
      <w:r>
        <w:rPr>
          <w:rFonts w:eastAsia="楷体_GB2312"/>
          <w:b/>
          <w:bCs/>
          <w:color w:val="auto"/>
          <w:kern w:val="28"/>
          <w:highlight w:val="none"/>
        </w:rPr>
        <w:t>（三）发展目标</w:t>
      </w:r>
      <w:bookmarkEnd w:id="63"/>
      <w:bookmarkEnd w:id="64"/>
      <w:bookmarkEnd w:id="65"/>
      <w:r>
        <w:rPr>
          <w:rFonts w:eastAsia="楷体_GB2312"/>
          <w:b/>
          <w:bCs/>
          <w:color w:val="auto"/>
          <w:kern w:val="28"/>
          <w:highlight w:val="none"/>
        </w:rPr>
        <w:tab/>
      </w:r>
    </w:p>
    <w:p>
      <w:pPr>
        <w:pageBreakBefore w:val="0"/>
        <w:widowControl w:val="0"/>
        <w:kinsoku/>
        <w:wordWrap/>
        <w:overflowPunct/>
        <w:topLinePunct w:val="0"/>
        <w:autoSpaceDE/>
        <w:autoSpaceDN/>
        <w:bidi w:val="0"/>
        <w:adjustRightInd/>
        <w:snapToGrid/>
        <w:spacing w:beforeLines="0" w:afterLines="0" w:line="580" w:lineRule="exact"/>
        <w:ind w:firstLine="643"/>
        <w:textAlignment w:val="auto"/>
        <w:outlineLvl w:val="2"/>
        <w:rPr>
          <w:b/>
          <w:color w:val="auto"/>
          <w:highlight w:val="none"/>
        </w:rPr>
      </w:pPr>
      <w:bookmarkStart w:id="66" w:name="_Toc1342896405"/>
      <w:bookmarkStart w:id="67" w:name="_Toc88257133"/>
      <w:bookmarkStart w:id="68" w:name="_Toc25634"/>
      <w:bookmarkStart w:id="69" w:name="_Toc63181176"/>
      <w:bookmarkStart w:id="70" w:name="_Toc61619049"/>
      <w:r>
        <w:rPr>
          <w:b/>
          <w:color w:val="auto"/>
          <w:highlight w:val="none"/>
        </w:rPr>
        <w:t>1、整体目标</w:t>
      </w:r>
      <w:bookmarkEnd w:id="66"/>
      <w:bookmarkEnd w:id="67"/>
      <w:bookmarkEnd w:id="68"/>
      <w:bookmarkEnd w:id="69"/>
      <w:bookmarkEnd w:id="70"/>
    </w:p>
    <w:p>
      <w:pPr>
        <w:pageBreakBefore w:val="0"/>
        <w:widowControl w:val="0"/>
        <w:kinsoku/>
        <w:wordWrap/>
        <w:overflowPunct/>
        <w:topLinePunct w:val="0"/>
        <w:autoSpaceDE/>
        <w:autoSpaceDN/>
        <w:bidi w:val="0"/>
        <w:adjustRightInd/>
        <w:snapToGrid/>
        <w:spacing w:beforeLines="0" w:afterLines="0" w:line="580" w:lineRule="exact"/>
        <w:textAlignment w:val="auto"/>
        <w:rPr>
          <w:color w:val="auto"/>
          <w:highlight w:val="none"/>
        </w:rPr>
      </w:pPr>
      <w:r>
        <w:rPr>
          <w:color w:val="auto"/>
          <w:highlight w:val="none"/>
        </w:rPr>
        <w:t>立足我市电子信息</w:t>
      </w:r>
      <w:r>
        <w:rPr>
          <w:rFonts w:hint="eastAsia"/>
          <w:color w:val="auto"/>
          <w:highlight w:val="none"/>
        </w:rPr>
        <w:t>制造</w:t>
      </w:r>
      <w:r>
        <w:rPr>
          <w:color w:val="auto"/>
          <w:highlight w:val="none"/>
        </w:rPr>
        <w:t>基础优势，以产业链链长制为引领，</w:t>
      </w:r>
      <w:r>
        <w:rPr>
          <w:rFonts w:hint="eastAsia"/>
          <w:color w:val="auto"/>
          <w:highlight w:val="none"/>
        </w:rPr>
        <w:t>全力</w:t>
      </w:r>
      <w:r>
        <w:rPr>
          <w:color w:val="auto"/>
          <w:highlight w:val="none"/>
        </w:rPr>
        <w:t>聚焦移动智能终端、LED、VR</w:t>
      </w:r>
      <w:r>
        <w:rPr>
          <w:rFonts w:hint="eastAsia"/>
          <w:color w:val="auto"/>
          <w:highlight w:val="none"/>
          <w:lang w:eastAsia="zh-CN"/>
        </w:rPr>
        <w:t>、</w:t>
      </w:r>
      <w:r>
        <w:rPr>
          <w:rFonts w:hint="eastAsia"/>
          <w:color w:val="auto"/>
          <w:highlight w:val="none"/>
          <w:lang w:val="en-US" w:eastAsia="zh-CN"/>
        </w:rPr>
        <w:t>5G</w:t>
      </w:r>
      <w:r>
        <w:rPr>
          <w:rFonts w:hint="eastAsia"/>
          <w:color w:val="auto"/>
          <w:highlight w:val="none"/>
        </w:rPr>
        <w:t>等“</w:t>
      </w:r>
      <w:r>
        <w:rPr>
          <w:rFonts w:hint="eastAsia"/>
          <w:color w:val="auto"/>
          <w:highlight w:val="none"/>
          <w:lang w:val="en-US" w:eastAsia="zh-CN"/>
        </w:rPr>
        <w:t>4</w:t>
      </w:r>
      <w:r>
        <w:rPr>
          <w:rFonts w:hint="eastAsia"/>
          <w:color w:val="auto"/>
          <w:highlight w:val="none"/>
        </w:rPr>
        <w:t>”个主导优势产业，探索发展新型显示、</w:t>
      </w:r>
      <w:r>
        <w:rPr>
          <w:rFonts w:hint="eastAsia"/>
          <w:color w:val="auto"/>
          <w:highlight w:val="none"/>
          <w:lang w:eastAsia="zh-CN"/>
        </w:rPr>
        <w:t>电子材料、</w:t>
      </w:r>
      <w:r>
        <w:rPr>
          <w:rFonts w:hint="eastAsia"/>
          <w:color w:val="auto"/>
          <w:highlight w:val="none"/>
        </w:rPr>
        <w:t>物联网</w:t>
      </w:r>
      <w:r>
        <w:rPr>
          <w:color w:val="auto"/>
          <w:highlight w:val="none"/>
        </w:rPr>
        <w:t>等</w:t>
      </w:r>
      <w:r>
        <w:rPr>
          <w:rFonts w:hint="eastAsia"/>
          <w:color w:val="auto"/>
          <w:highlight w:val="none"/>
        </w:rPr>
        <w:t>“N”个新兴电子信息产业</w:t>
      </w:r>
      <w:r>
        <w:rPr>
          <w:color w:val="auto"/>
          <w:highlight w:val="none"/>
        </w:rPr>
        <w:t>，打造“中部电子信息重镇” “国家级电子信息制造基地”和“世界级VR中心”。</w:t>
      </w:r>
    </w:p>
    <w:p>
      <w:pPr>
        <w:pStyle w:val="10"/>
        <w:pageBreakBefore w:val="0"/>
        <w:widowControl w:val="0"/>
        <w:kinsoku/>
        <w:wordWrap/>
        <w:overflowPunct/>
        <w:topLinePunct w:val="0"/>
        <w:autoSpaceDE/>
        <w:autoSpaceDN/>
        <w:bidi w:val="0"/>
        <w:adjustRightInd/>
        <w:snapToGrid/>
        <w:spacing w:beforeLines="0" w:afterLines="0" w:line="580" w:lineRule="exact"/>
        <w:ind w:firstLine="643"/>
        <w:textAlignment w:val="auto"/>
        <w:rPr>
          <w:color w:val="auto"/>
          <w:highlight w:val="none"/>
        </w:rPr>
      </w:pPr>
      <w:r>
        <w:rPr>
          <w:b/>
          <w:color w:val="auto"/>
          <w:highlight w:val="none"/>
        </w:rPr>
        <w:t>“十四五”目标：</w:t>
      </w:r>
      <w:r>
        <w:rPr>
          <w:color w:val="auto"/>
          <w:highlight w:val="none"/>
        </w:rPr>
        <w:t>到2025年，“</w:t>
      </w:r>
      <w:r>
        <w:rPr>
          <w:rFonts w:hint="eastAsia"/>
          <w:color w:val="auto"/>
          <w:highlight w:val="none"/>
          <w:lang w:val="en-US" w:eastAsia="zh-CN"/>
        </w:rPr>
        <w:t>4</w:t>
      </w:r>
      <w:r>
        <w:rPr>
          <w:color w:val="auto"/>
          <w:highlight w:val="none"/>
        </w:rPr>
        <w:t>+N”电子信息产业体系初步构建，电子信息产</w:t>
      </w:r>
      <w:r>
        <w:rPr>
          <w:rFonts w:hint="eastAsia"/>
          <w:color w:val="auto"/>
          <w:highlight w:val="none"/>
        </w:rPr>
        <w:t>业</w:t>
      </w:r>
      <w:r>
        <w:rPr>
          <w:color w:val="auto"/>
          <w:highlight w:val="none"/>
        </w:rPr>
        <w:t>规模突破5000亿元，</w:t>
      </w:r>
      <w:r>
        <w:rPr>
          <w:rFonts w:hint="eastAsia"/>
          <w:color w:val="auto"/>
          <w:highlight w:val="none"/>
          <w:lang w:eastAsia="zh-CN"/>
        </w:rPr>
        <w:t>其中</w:t>
      </w:r>
      <w:r>
        <w:rPr>
          <w:color w:val="auto"/>
          <w:highlight w:val="none"/>
        </w:rPr>
        <w:t>信息服务业突破1000亿元，全省电子信息产业创新高地基本确立，产业链补链强链取得明显成效。</w:t>
      </w:r>
    </w:p>
    <w:p>
      <w:pPr>
        <w:pageBreakBefore w:val="0"/>
        <w:widowControl w:val="0"/>
        <w:kinsoku/>
        <w:wordWrap/>
        <w:overflowPunct/>
        <w:topLinePunct w:val="0"/>
        <w:autoSpaceDE/>
        <w:autoSpaceDN/>
        <w:bidi w:val="0"/>
        <w:adjustRightInd/>
        <w:snapToGrid/>
        <w:spacing w:beforeLines="0" w:afterLines="0" w:line="580" w:lineRule="exact"/>
        <w:ind w:firstLine="643"/>
        <w:textAlignment w:val="auto"/>
        <w:rPr>
          <w:color w:val="auto"/>
          <w:highlight w:val="none"/>
        </w:rPr>
      </w:pPr>
      <w:r>
        <w:rPr>
          <w:b/>
          <w:color w:val="auto"/>
          <w:highlight w:val="none"/>
        </w:rPr>
        <w:t>远期目标：</w:t>
      </w:r>
      <w:r>
        <w:rPr>
          <w:color w:val="auto"/>
          <w:highlight w:val="none"/>
        </w:rPr>
        <w:t>到20</w:t>
      </w:r>
      <w:r>
        <w:rPr>
          <w:rFonts w:hint="eastAsia"/>
          <w:color w:val="auto"/>
          <w:highlight w:val="none"/>
          <w:lang w:val="en-US" w:eastAsia="zh-CN"/>
        </w:rPr>
        <w:t>30</w:t>
      </w:r>
      <w:r>
        <w:rPr>
          <w:color w:val="auto"/>
          <w:highlight w:val="none"/>
        </w:rPr>
        <w:t>年，“</w:t>
      </w:r>
      <w:r>
        <w:rPr>
          <w:rFonts w:hint="eastAsia"/>
          <w:color w:val="auto"/>
          <w:highlight w:val="none"/>
          <w:lang w:val="en-US" w:eastAsia="zh-CN"/>
        </w:rPr>
        <w:t>4</w:t>
      </w:r>
      <w:r>
        <w:rPr>
          <w:color w:val="auto"/>
          <w:highlight w:val="none"/>
        </w:rPr>
        <w:t>+N”电子信息产业体系基本形成，全市电子信息产业规模</w:t>
      </w:r>
      <w:r>
        <w:rPr>
          <w:rFonts w:hint="eastAsia"/>
          <w:color w:val="auto"/>
          <w:highlight w:val="none"/>
          <w:lang w:eastAsia="zh-CN"/>
        </w:rPr>
        <w:t>达到万亿级</w:t>
      </w:r>
      <w:r>
        <w:rPr>
          <w:color w:val="auto"/>
          <w:highlight w:val="none"/>
        </w:rPr>
        <w:t>，全国电子信息产业集群地位基本确立，产业链融通水平大幅上升，主导产业具有较强国际影响力。</w:t>
      </w:r>
    </w:p>
    <w:p>
      <w:pPr>
        <w:pageBreakBefore w:val="0"/>
        <w:widowControl w:val="0"/>
        <w:kinsoku/>
        <w:wordWrap/>
        <w:overflowPunct/>
        <w:topLinePunct w:val="0"/>
        <w:autoSpaceDE/>
        <w:autoSpaceDN/>
        <w:bidi w:val="0"/>
        <w:adjustRightInd/>
        <w:snapToGrid/>
        <w:spacing w:beforeLines="0" w:afterLines="0" w:line="580" w:lineRule="exact"/>
        <w:ind w:firstLine="0" w:firstLineChars="0"/>
        <w:textAlignment w:val="auto"/>
        <w:rPr>
          <w:rFonts w:eastAsia="黑体"/>
          <w:color w:val="auto"/>
          <w:sz w:val="28"/>
          <w:szCs w:val="28"/>
          <w:highlight w:val="none"/>
        </w:rPr>
      </w:pPr>
      <w:r>
        <w:rPr>
          <w:rFonts w:eastAsia="黑体"/>
          <w:color w:val="auto"/>
          <w:sz w:val="28"/>
          <w:szCs w:val="28"/>
          <w:highlight w:val="none"/>
        </w:rPr>
        <w:t>表1 南昌市电子信息产业2025年和20</w:t>
      </w:r>
      <w:r>
        <w:rPr>
          <w:rFonts w:hint="eastAsia" w:eastAsia="黑体"/>
          <w:color w:val="auto"/>
          <w:sz w:val="28"/>
          <w:szCs w:val="28"/>
          <w:highlight w:val="none"/>
          <w:lang w:val="en-US" w:eastAsia="zh-CN"/>
        </w:rPr>
        <w:t>30</w:t>
      </w:r>
      <w:r>
        <w:rPr>
          <w:rFonts w:eastAsia="黑体"/>
          <w:color w:val="auto"/>
          <w:sz w:val="28"/>
          <w:szCs w:val="28"/>
          <w:highlight w:val="none"/>
        </w:rPr>
        <w:t>年产</w:t>
      </w:r>
      <w:r>
        <w:rPr>
          <w:rFonts w:hint="eastAsia" w:eastAsia="黑体"/>
          <w:color w:val="auto"/>
          <w:sz w:val="28"/>
          <w:szCs w:val="28"/>
          <w:highlight w:val="none"/>
        </w:rPr>
        <w:t>业规模</w:t>
      </w:r>
      <w:r>
        <w:rPr>
          <w:rFonts w:eastAsia="黑体"/>
          <w:color w:val="auto"/>
          <w:sz w:val="28"/>
          <w:szCs w:val="28"/>
          <w:highlight w:val="none"/>
        </w:rPr>
        <w:t>预测目标表</w:t>
      </w:r>
    </w:p>
    <w:tbl>
      <w:tblPr>
        <w:tblStyle w:val="28"/>
        <w:tblW w:w="9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2390"/>
        <w:gridCol w:w="2221"/>
        <w:gridCol w:w="2282"/>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0" w:hRule="atLeast"/>
          <w:jc w:val="center"/>
        </w:trPr>
        <w:tc>
          <w:tcPr>
            <w:tcW w:w="2390"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rFonts w:eastAsia="黑体"/>
                <w:b/>
                <w:bCs/>
                <w:color w:val="auto"/>
                <w:sz w:val="24"/>
                <w:szCs w:val="24"/>
                <w:highlight w:val="none"/>
              </w:rPr>
            </w:pPr>
            <w:r>
              <w:rPr>
                <w:rFonts w:eastAsia="黑体"/>
                <w:b/>
                <w:bCs/>
                <w:color w:val="auto"/>
                <w:sz w:val="24"/>
                <w:szCs w:val="24"/>
                <w:highlight w:val="none"/>
              </w:rPr>
              <w:t>总体/分领域目标</w:t>
            </w:r>
          </w:p>
        </w:tc>
        <w:tc>
          <w:tcPr>
            <w:tcW w:w="2221"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rFonts w:eastAsia="黑体"/>
                <w:b/>
                <w:bCs/>
                <w:color w:val="auto"/>
                <w:sz w:val="24"/>
                <w:szCs w:val="24"/>
                <w:highlight w:val="none"/>
              </w:rPr>
            </w:pPr>
            <w:r>
              <w:rPr>
                <w:rFonts w:eastAsia="黑体"/>
                <w:b/>
                <w:bCs/>
                <w:color w:val="auto"/>
                <w:sz w:val="24"/>
                <w:szCs w:val="24"/>
                <w:highlight w:val="none"/>
              </w:rPr>
              <w:t>2023年</w:t>
            </w:r>
            <w:r>
              <w:rPr>
                <w:rFonts w:hint="eastAsia" w:eastAsia="黑体"/>
                <w:b/>
                <w:bCs/>
                <w:color w:val="auto"/>
                <w:sz w:val="24"/>
                <w:szCs w:val="24"/>
                <w:highlight w:val="none"/>
              </w:rPr>
              <w:t>营业收入</w:t>
            </w:r>
          </w:p>
        </w:tc>
        <w:tc>
          <w:tcPr>
            <w:tcW w:w="2282"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rFonts w:eastAsia="黑体"/>
                <w:b/>
                <w:bCs/>
                <w:color w:val="auto"/>
                <w:sz w:val="24"/>
                <w:szCs w:val="24"/>
                <w:highlight w:val="none"/>
              </w:rPr>
            </w:pPr>
            <w:r>
              <w:rPr>
                <w:rFonts w:eastAsia="黑体"/>
                <w:b/>
                <w:bCs/>
                <w:color w:val="auto"/>
                <w:sz w:val="24"/>
                <w:szCs w:val="24"/>
                <w:highlight w:val="none"/>
              </w:rPr>
              <w:t>2025年</w:t>
            </w:r>
            <w:r>
              <w:rPr>
                <w:rFonts w:hint="eastAsia" w:eastAsia="黑体"/>
                <w:b/>
                <w:bCs/>
                <w:color w:val="auto"/>
                <w:sz w:val="24"/>
                <w:szCs w:val="24"/>
                <w:highlight w:val="none"/>
              </w:rPr>
              <w:t>营业收入</w:t>
            </w:r>
          </w:p>
        </w:tc>
        <w:tc>
          <w:tcPr>
            <w:tcW w:w="2220"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rFonts w:eastAsia="黑体"/>
                <w:b/>
                <w:bCs/>
                <w:color w:val="auto"/>
                <w:sz w:val="24"/>
                <w:szCs w:val="24"/>
                <w:highlight w:val="none"/>
              </w:rPr>
            </w:pPr>
            <w:r>
              <w:rPr>
                <w:rFonts w:eastAsia="黑体"/>
                <w:b/>
                <w:bCs/>
                <w:color w:val="auto"/>
                <w:sz w:val="24"/>
                <w:szCs w:val="24"/>
                <w:highlight w:val="none"/>
              </w:rPr>
              <w:t>20</w:t>
            </w:r>
            <w:r>
              <w:rPr>
                <w:rFonts w:hint="eastAsia" w:eastAsia="黑体"/>
                <w:b/>
                <w:bCs/>
                <w:color w:val="auto"/>
                <w:sz w:val="24"/>
                <w:szCs w:val="24"/>
                <w:highlight w:val="none"/>
                <w:lang w:val="en-US" w:eastAsia="zh-CN"/>
              </w:rPr>
              <w:t>30</w:t>
            </w:r>
            <w:r>
              <w:rPr>
                <w:rFonts w:eastAsia="黑体"/>
                <w:b/>
                <w:bCs/>
                <w:color w:val="auto"/>
                <w:sz w:val="24"/>
                <w:szCs w:val="24"/>
                <w:highlight w:val="none"/>
              </w:rPr>
              <w:t>年</w:t>
            </w:r>
            <w:r>
              <w:rPr>
                <w:rFonts w:hint="eastAsia" w:eastAsia="黑体"/>
                <w:b/>
                <w:bCs/>
                <w:color w:val="auto"/>
                <w:sz w:val="24"/>
                <w:szCs w:val="24"/>
                <w:highlight w:val="none"/>
              </w:rPr>
              <w:t>营业收入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90"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b/>
                <w:bCs/>
                <w:color w:val="auto"/>
                <w:sz w:val="24"/>
                <w:szCs w:val="24"/>
                <w:highlight w:val="none"/>
              </w:rPr>
            </w:pPr>
            <w:r>
              <w:rPr>
                <w:b/>
                <w:bCs/>
                <w:color w:val="auto"/>
                <w:sz w:val="24"/>
                <w:szCs w:val="24"/>
                <w:highlight w:val="none"/>
              </w:rPr>
              <w:t>总体规模</w:t>
            </w:r>
          </w:p>
        </w:tc>
        <w:tc>
          <w:tcPr>
            <w:tcW w:w="2221"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color w:val="auto"/>
                <w:sz w:val="24"/>
                <w:szCs w:val="24"/>
                <w:highlight w:val="none"/>
              </w:rPr>
            </w:pPr>
            <w:r>
              <w:rPr>
                <w:rFonts w:hint="eastAsia"/>
                <w:color w:val="auto"/>
                <w:sz w:val="24"/>
                <w:szCs w:val="24"/>
                <w:highlight w:val="none"/>
              </w:rPr>
              <w:t>3</w:t>
            </w:r>
            <w:r>
              <w:rPr>
                <w:rFonts w:hint="eastAsia"/>
                <w:color w:val="auto"/>
                <w:sz w:val="24"/>
                <w:szCs w:val="24"/>
                <w:highlight w:val="none"/>
                <w:lang w:val="en-US" w:eastAsia="zh-CN"/>
              </w:rPr>
              <w:t>0</w:t>
            </w:r>
            <w:r>
              <w:rPr>
                <w:color w:val="auto"/>
                <w:sz w:val="24"/>
                <w:szCs w:val="24"/>
                <w:highlight w:val="none"/>
              </w:rPr>
              <w:t>00亿级</w:t>
            </w:r>
          </w:p>
        </w:tc>
        <w:tc>
          <w:tcPr>
            <w:tcW w:w="2282"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color w:val="auto"/>
                <w:sz w:val="24"/>
                <w:szCs w:val="24"/>
                <w:highlight w:val="none"/>
              </w:rPr>
            </w:pPr>
            <w:r>
              <w:rPr>
                <w:color w:val="auto"/>
                <w:sz w:val="24"/>
                <w:szCs w:val="24"/>
                <w:highlight w:val="none"/>
              </w:rPr>
              <w:t>5000亿级</w:t>
            </w:r>
          </w:p>
        </w:tc>
        <w:tc>
          <w:tcPr>
            <w:tcW w:w="2220"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color w:val="auto"/>
                <w:sz w:val="24"/>
                <w:szCs w:val="24"/>
                <w:highlight w:val="none"/>
              </w:rPr>
            </w:pPr>
            <w:r>
              <w:rPr>
                <w:rFonts w:hint="eastAsia"/>
                <w:color w:val="auto"/>
                <w:sz w:val="24"/>
                <w:szCs w:val="24"/>
                <w:highlight w:val="none"/>
                <w:lang w:val="en-US" w:eastAsia="zh-CN"/>
              </w:rPr>
              <w:t>10000</w:t>
            </w:r>
            <w:r>
              <w:rPr>
                <w:color w:val="auto"/>
                <w:sz w:val="24"/>
                <w:szCs w:val="24"/>
                <w:highlight w:val="none"/>
              </w:rPr>
              <w:t>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90"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b/>
                <w:bCs/>
                <w:color w:val="auto"/>
                <w:sz w:val="24"/>
                <w:szCs w:val="24"/>
                <w:highlight w:val="none"/>
              </w:rPr>
            </w:pPr>
            <w:r>
              <w:rPr>
                <w:b/>
                <w:bCs/>
                <w:color w:val="auto"/>
                <w:sz w:val="24"/>
                <w:szCs w:val="24"/>
                <w:highlight w:val="none"/>
              </w:rPr>
              <w:t>移动智能终端</w:t>
            </w:r>
          </w:p>
        </w:tc>
        <w:tc>
          <w:tcPr>
            <w:tcW w:w="2221"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color w:val="auto"/>
                <w:sz w:val="24"/>
                <w:szCs w:val="24"/>
                <w:highlight w:val="none"/>
              </w:rPr>
            </w:pPr>
            <w:r>
              <w:rPr>
                <w:color w:val="auto"/>
                <w:sz w:val="24"/>
                <w:szCs w:val="24"/>
                <w:highlight w:val="none"/>
              </w:rPr>
              <w:t>2</w:t>
            </w:r>
            <w:r>
              <w:rPr>
                <w:rFonts w:hint="eastAsia"/>
                <w:color w:val="auto"/>
                <w:sz w:val="24"/>
                <w:szCs w:val="24"/>
                <w:highlight w:val="none"/>
                <w:lang w:val="en-US" w:eastAsia="zh-CN"/>
              </w:rPr>
              <w:t>0</w:t>
            </w:r>
            <w:r>
              <w:rPr>
                <w:color w:val="auto"/>
                <w:sz w:val="24"/>
                <w:szCs w:val="24"/>
                <w:highlight w:val="none"/>
              </w:rPr>
              <w:t>00亿级</w:t>
            </w:r>
          </w:p>
        </w:tc>
        <w:tc>
          <w:tcPr>
            <w:tcW w:w="2282"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color w:val="auto"/>
                <w:sz w:val="24"/>
                <w:szCs w:val="24"/>
                <w:highlight w:val="none"/>
              </w:rPr>
            </w:pPr>
            <w:r>
              <w:rPr>
                <w:rFonts w:hint="eastAsia"/>
                <w:color w:val="auto"/>
                <w:sz w:val="24"/>
                <w:szCs w:val="24"/>
                <w:highlight w:val="none"/>
              </w:rPr>
              <w:t>30</w:t>
            </w:r>
            <w:r>
              <w:rPr>
                <w:color w:val="auto"/>
                <w:sz w:val="24"/>
                <w:szCs w:val="24"/>
                <w:highlight w:val="none"/>
              </w:rPr>
              <w:t>00亿级</w:t>
            </w:r>
          </w:p>
        </w:tc>
        <w:tc>
          <w:tcPr>
            <w:tcW w:w="2220"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color w:val="auto"/>
                <w:sz w:val="24"/>
                <w:szCs w:val="24"/>
                <w:highlight w:val="none"/>
              </w:rPr>
            </w:pPr>
            <w:r>
              <w:rPr>
                <w:rFonts w:hint="eastAsia"/>
                <w:color w:val="auto"/>
                <w:sz w:val="24"/>
                <w:szCs w:val="24"/>
                <w:highlight w:val="none"/>
                <w:lang w:val="en-US" w:eastAsia="zh-CN"/>
              </w:rPr>
              <w:t>6000</w:t>
            </w:r>
            <w:r>
              <w:rPr>
                <w:color w:val="auto"/>
                <w:sz w:val="24"/>
                <w:szCs w:val="24"/>
                <w:highlight w:val="none"/>
              </w:rPr>
              <w:t>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90"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b/>
                <w:bCs/>
                <w:color w:val="auto"/>
                <w:sz w:val="24"/>
                <w:szCs w:val="24"/>
                <w:highlight w:val="none"/>
              </w:rPr>
            </w:pPr>
            <w:r>
              <w:rPr>
                <w:b/>
                <w:bCs/>
                <w:color w:val="auto"/>
                <w:sz w:val="24"/>
                <w:szCs w:val="24"/>
                <w:highlight w:val="none"/>
              </w:rPr>
              <w:t>LED</w:t>
            </w:r>
          </w:p>
        </w:tc>
        <w:tc>
          <w:tcPr>
            <w:tcW w:w="2221"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color w:val="auto"/>
                <w:sz w:val="24"/>
                <w:szCs w:val="24"/>
                <w:highlight w:val="none"/>
              </w:rPr>
            </w:pPr>
            <w:r>
              <w:rPr>
                <w:rFonts w:hint="eastAsia"/>
                <w:color w:val="auto"/>
                <w:sz w:val="24"/>
                <w:szCs w:val="24"/>
                <w:highlight w:val="none"/>
                <w:lang w:val="en-US" w:eastAsia="zh-CN"/>
              </w:rPr>
              <w:t>35</w:t>
            </w:r>
            <w:r>
              <w:rPr>
                <w:color w:val="auto"/>
                <w:sz w:val="24"/>
                <w:szCs w:val="24"/>
                <w:highlight w:val="none"/>
              </w:rPr>
              <w:t>0亿级</w:t>
            </w:r>
          </w:p>
        </w:tc>
        <w:tc>
          <w:tcPr>
            <w:tcW w:w="2282"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color w:val="auto"/>
                <w:sz w:val="24"/>
                <w:szCs w:val="24"/>
                <w:highlight w:val="none"/>
              </w:rPr>
            </w:pPr>
            <w:r>
              <w:rPr>
                <w:rFonts w:hint="eastAsia"/>
                <w:color w:val="auto"/>
                <w:sz w:val="24"/>
                <w:szCs w:val="24"/>
                <w:highlight w:val="none"/>
              </w:rPr>
              <w:t>5</w:t>
            </w:r>
            <w:r>
              <w:rPr>
                <w:color w:val="auto"/>
                <w:sz w:val="24"/>
                <w:szCs w:val="24"/>
                <w:highlight w:val="none"/>
              </w:rPr>
              <w:t>00亿级</w:t>
            </w:r>
          </w:p>
        </w:tc>
        <w:tc>
          <w:tcPr>
            <w:tcW w:w="2220"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color w:val="auto"/>
                <w:sz w:val="24"/>
                <w:szCs w:val="24"/>
                <w:highlight w:val="none"/>
              </w:rPr>
            </w:pPr>
            <w:r>
              <w:rPr>
                <w:rFonts w:hint="eastAsia"/>
                <w:color w:val="auto"/>
                <w:sz w:val="24"/>
                <w:szCs w:val="24"/>
                <w:highlight w:val="none"/>
                <w:lang w:val="en-US" w:eastAsia="zh-CN"/>
              </w:rPr>
              <w:t>10</w:t>
            </w:r>
            <w:r>
              <w:rPr>
                <w:color w:val="auto"/>
                <w:sz w:val="24"/>
                <w:szCs w:val="24"/>
                <w:highlight w:val="none"/>
              </w:rPr>
              <w:t>00亿级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90"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b/>
                <w:bCs/>
                <w:color w:val="auto"/>
                <w:sz w:val="24"/>
                <w:szCs w:val="24"/>
                <w:highlight w:val="none"/>
              </w:rPr>
            </w:pPr>
            <w:r>
              <w:rPr>
                <w:b/>
                <w:bCs/>
                <w:color w:val="auto"/>
                <w:sz w:val="24"/>
                <w:szCs w:val="24"/>
                <w:highlight w:val="none"/>
              </w:rPr>
              <w:t>VR</w:t>
            </w:r>
          </w:p>
        </w:tc>
        <w:tc>
          <w:tcPr>
            <w:tcW w:w="2221"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color w:val="auto"/>
                <w:sz w:val="24"/>
                <w:szCs w:val="24"/>
                <w:highlight w:val="none"/>
              </w:rPr>
            </w:pPr>
            <w:r>
              <w:rPr>
                <w:rFonts w:hint="eastAsia"/>
                <w:color w:val="auto"/>
                <w:sz w:val="24"/>
                <w:szCs w:val="24"/>
                <w:highlight w:val="none"/>
                <w:lang w:val="en-US" w:eastAsia="zh-CN"/>
              </w:rPr>
              <w:t>750</w:t>
            </w:r>
            <w:r>
              <w:rPr>
                <w:color w:val="auto"/>
                <w:sz w:val="24"/>
                <w:szCs w:val="24"/>
                <w:highlight w:val="none"/>
              </w:rPr>
              <w:t>亿级</w:t>
            </w:r>
          </w:p>
        </w:tc>
        <w:tc>
          <w:tcPr>
            <w:tcW w:w="2282"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color w:val="auto"/>
                <w:sz w:val="24"/>
                <w:szCs w:val="24"/>
                <w:highlight w:val="none"/>
              </w:rPr>
            </w:pPr>
            <w:r>
              <w:rPr>
                <w:color w:val="auto"/>
                <w:sz w:val="24"/>
                <w:szCs w:val="24"/>
                <w:highlight w:val="none"/>
              </w:rPr>
              <w:t>1000亿级</w:t>
            </w:r>
          </w:p>
        </w:tc>
        <w:tc>
          <w:tcPr>
            <w:tcW w:w="2220"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color w:val="auto"/>
                <w:sz w:val="24"/>
                <w:szCs w:val="24"/>
                <w:highlight w:val="none"/>
              </w:rPr>
            </w:pPr>
            <w:r>
              <w:rPr>
                <w:rFonts w:hint="eastAsia"/>
                <w:color w:val="auto"/>
                <w:sz w:val="24"/>
                <w:szCs w:val="24"/>
                <w:highlight w:val="none"/>
                <w:lang w:val="en-US" w:eastAsia="zh-CN"/>
              </w:rPr>
              <w:t>20</w:t>
            </w:r>
            <w:r>
              <w:rPr>
                <w:color w:val="auto"/>
                <w:sz w:val="24"/>
                <w:szCs w:val="24"/>
                <w:highlight w:val="none"/>
              </w:rPr>
              <w:t>00亿级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90"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rFonts w:hint="default" w:eastAsia="仿宋_GB2312"/>
                <w:b/>
                <w:bCs/>
                <w:color w:val="auto"/>
                <w:sz w:val="24"/>
                <w:szCs w:val="24"/>
                <w:highlight w:val="none"/>
                <w:lang w:val="en-US" w:eastAsia="zh-CN"/>
              </w:rPr>
            </w:pPr>
            <w:r>
              <w:rPr>
                <w:rFonts w:hint="eastAsia"/>
                <w:b/>
                <w:bCs/>
                <w:color w:val="auto"/>
                <w:sz w:val="24"/>
                <w:szCs w:val="24"/>
                <w:highlight w:val="none"/>
                <w:lang w:val="en-US" w:eastAsia="zh-CN"/>
              </w:rPr>
              <w:t>5G</w:t>
            </w:r>
          </w:p>
        </w:tc>
        <w:tc>
          <w:tcPr>
            <w:tcW w:w="2221"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rFonts w:hint="default" w:eastAsia="仿宋_GB2312"/>
                <w:color w:val="auto"/>
                <w:sz w:val="24"/>
                <w:szCs w:val="24"/>
                <w:highlight w:val="none"/>
                <w:lang w:val="en-US" w:eastAsia="zh-CN"/>
              </w:rPr>
            </w:pPr>
            <w:r>
              <w:rPr>
                <w:rFonts w:hint="eastAsia"/>
                <w:color w:val="auto"/>
                <w:sz w:val="24"/>
                <w:szCs w:val="24"/>
                <w:highlight w:val="none"/>
                <w:lang w:val="en-US" w:eastAsia="zh-CN"/>
              </w:rPr>
              <w:t>600亿级</w:t>
            </w:r>
          </w:p>
        </w:tc>
        <w:tc>
          <w:tcPr>
            <w:tcW w:w="2282"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rFonts w:hint="default" w:eastAsia="仿宋_GB2312"/>
                <w:color w:val="auto"/>
                <w:sz w:val="24"/>
                <w:szCs w:val="24"/>
                <w:highlight w:val="none"/>
                <w:lang w:val="en-US" w:eastAsia="zh-CN"/>
              </w:rPr>
            </w:pPr>
            <w:r>
              <w:rPr>
                <w:rFonts w:hint="eastAsia"/>
                <w:color w:val="auto"/>
                <w:sz w:val="24"/>
                <w:szCs w:val="24"/>
                <w:highlight w:val="none"/>
                <w:lang w:val="en-US" w:eastAsia="zh-CN"/>
              </w:rPr>
              <w:t>1000亿级</w:t>
            </w:r>
          </w:p>
        </w:tc>
        <w:tc>
          <w:tcPr>
            <w:tcW w:w="2220"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rFonts w:hint="default"/>
                <w:color w:val="auto"/>
                <w:sz w:val="24"/>
                <w:szCs w:val="24"/>
                <w:highlight w:val="none"/>
                <w:lang w:val="en-US" w:eastAsia="zh-CN"/>
              </w:rPr>
            </w:pPr>
            <w:r>
              <w:rPr>
                <w:rFonts w:hint="eastAsia"/>
                <w:color w:val="auto"/>
                <w:sz w:val="24"/>
                <w:szCs w:val="24"/>
                <w:highlight w:val="none"/>
                <w:lang w:val="en-US" w:eastAsia="zh-CN"/>
              </w:rPr>
              <w:t>1500亿级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90"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b/>
                <w:bCs/>
                <w:color w:val="auto"/>
                <w:sz w:val="24"/>
                <w:szCs w:val="24"/>
                <w:highlight w:val="none"/>
              </w:rPr>
            </w:pPr>
            <w:r>
              <w:rPr>
                <w:rFonts w:hint="eastAsia"/>
                <w:b/>
                <w:bCs/>
                <w:color w:val="auto"/>
                <w:sz w:val="24"/>
                <w:szCs w:val="24"/>
                <w:highlight w:val="none"/>
              </w:rPr>
              <w:t>新兴电子信息产</w:t>
            </w:r>
            <w:r>
              <w:rPr>
                <w:b/>
                <w:bCs/>
                <w:color w:val="auto"/>
                <w:sz w:val="24"/>
                <w:szCs w:val="24"/>
                <w:highlight w:val="none"/>
              </w:rPr>
              <w:t>业</w:t>
            </w:r>
          </w:p>
        </w:tc>
        <w:tc>
          <w:tcPr>
            <w:tcW w:w="2221"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color w:val="auto"/>
                <w:sz w:val="24"/>
                <w:szCs w:val="24"/>
                <w:highlight w:val="none"/>
              </w:rPr>
            </w:pPr>
            <w:r>
              <w:rPr>
                <w:rFonts w:hint="eastAsia"/>
                <w:color w:val="auto"/>
                <w:sz w:val="24"/>
                <w:szCs w:val="24"/>
                <w:highlight w:val="none"/>
                <w:lang w:val="en-US" w:eastAsia="zh-CN"/>
              </w:rPr>
              <w:t>3</w:t>
            </w:r>
            <w:r>
              <w:rPr>
                <w:rFonts w:hint="eastAsia"/>
                <w:color w:val="auto"/>
                <w:sz w:val="24"/>
                <w:szCs w:val="24"/>
                <w:highlight w:val="none"/>
              </w:rPr>
              <w:t>00亿级</w:t>
            </w:r>
          </w:p>
        </w:tc>
        <w:tc>
          <w:tcPr>
            <w:tcW w:w="2282"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color w:val="auto"/>
                <w:sz w:val="24"/>
                <w:szCs w:val="24"/>
                <w:highlight w:val="none"/>
              </w:rPr>
            </w:pPr>
            <w:r>
              <w:rPr>
                <w:color w:val="auto"/>
                <w:sz w:val="24"/>
                <w:szCs w:val="24"/>
                <w:highlight w:val="none"/>
              </w:rPr>
              <w:t>5</w:t>
            </w:r>
            <w:r>
              <w:rPr>
                <w:rFonts w:hint="eastAsia"/>
                <w:color w:val="auto"/>
                <w:sz w:val="24"/>
                <w:szCs w:val="24"/>
                <w:highlight w:val="none"/>
              </w:rPr>
              <w:t>00亿级</w:t>
            </w:r>
          </w:p>
        </w:tc>
        <w:tc>
          <w:tcPr>
            <w:tcW w:w="2220" w:type="dxa"/>
            <w:shd w:val="clear" w:color="auto" w:fill="auto"/>
            <w:tcMar>
              <w:top w:w="12" w:type="dxa"/>
              <w:left w:w="12" w:type="dxa"/>
              <w:right w:w="12" w:type="dxa"/>
            </w:tcMar>
            <w:vAlign w:val="center"/>
          </w:tcPr>
          <w:p>
            <w:pPr>
              <w:pageBreakBefore w:val="0"/>
              <w:widowControl w:val="0"/>
              <w:kinsoku/>
              <w:wordWrap/>
              <w:overflowPunct/>
              <w:topLinePunct w:val="0"/>
              <w:bidi w:val="0"/>
              <w:spacing w:beforeLines="0" w:afterLines="0" w:line="240" w:lineRule="auto"/>
              <w:ind w:firstLine="0" w:firstLineChars="0"/>
              <w:jc w:val="center"/>
              <w:textAlignment w:val="auto"/>
              <w:rPr>
                <w:color w:val="auto"/>
                <w:sz w:val="24"/>
                <w:szCs w:val="24"/>
                <w:highlight w:val="none"/>
              </w:rPr>
            </w:pPr>
            <w:r>
              <w:rPr>
                <w:rFonts w:hint="eastAsia"/>
                <w:color w:val="auto"/>
                <w:sz w:val="24"/>
                <w:szCs w:val="24"/>
                <w:highlight w:val="none"/>
                <w:lang w:val="en-US" w:eastAsia="zh-CN"/>
              </w:rPr>
              <w:t>10</w:t>
            </w:r>
            <w:r>
              <w:rPr>
                <w:color w:val="auto"/>
                <w:sz w:val="24"/>
                <w:szCs w:val="24"/>
                <w:highlight w:val="none"/>
              </w:rPr>
              <w:t>00亿级</w:t>
            </w:r>
          </w:p>
        </w:tc>
      </w:tr>
    </w:tbl>
    <w:p>
      <w:pPr>
        <w:pageBreakBefore w:val="0"/>
        <w:widowControl w:val="0"/>
        <w:kinsoku/>
        <w:wordWrap/>
        <w:overflowPunct/>
        <w:topLinePunct w:val="0"/>
        <w:bidi w:val="0"/>
        <w:spacing w:beforeLines="0" w:afterLines="0" w:line="580" w:lineRule="exact"/>
        <w:ind w:firstLine="643"/>
        <w:textAlignment w:val="auto"/>
        <w:outlineLvl w:val="9"/>
        <w:rPr>
          <w:color w:val="auto"/>
          <w:sz w:val="32"/>
          <w:szCs w:val="32"/>
          <w:highlight w:val="none"/>
        </w:rPr>
      </w:pPr>
      <w:bookmarkStart w:id="71" w:name="_Toc61619050"/>
      <w:bookmarkStart w:id="72" w:name="_Toc63181177"/>
      <w:bookmarkStart w:id="73" w:name="_Toc5082"/>
      <w:bookmarkStart w:id="74" w:name="_Toc88257134"/>
      <w:r>
        <w:rPr>
          <w:color w:val="auto"/>
          <w:sz w:val="32"/>
          <w:szCs w:val="32"/>
          <w:highlight w:val="none"/>
        </w:rPr>
        <w:t>注：各细分产业有部分交叉</w:t>
      </w:r>
    </w:p>
    <w:p>
      <w:pPr>
        <w:pageBreakBefore w:val="0"/>
        <w:widowControl w:val="0"/>
        <w:kinsoku/>
        <w:wordWrap/>
        <w:overflowPunct/>
        <w:topLinePunct w:val="0"/>
        <w:bidi w:val="0"/>
        <w:spacing w:beforeLines="0" w:afterLines="0" w:line="580" w:lineRule="exact"/>
        <w:ind w:firstLine="643"/>
        <w:textAlignment w:val="auto"/>
        <w:outlineLvl w:val="2"/>
        <w:rPr>
          <w:b/>
          <w:color w:val="auto"/>
          <w:highlight w:val="none"/>
        </w:rPr>
      </w:pPr>
      <w:bookmarkStart w:id="75" w:name="_Toc98503827"/>
      <w:r>
        <w:rPr>
          <w:b/>
          <w:color w:val="auto"/>
          <w:highlight w:val="none"/>
        </w:rPr>
        <w:t>2、分行业目标</w:t>
      </w:r>
      <w:bookmarkEnd w:id="71"/>
      <w:bookmarkEnd w:id="72"/>
      <w:bookmarkEnd w:id="73"/>
      <w:bookmarkEnd w:id="74"/>
      <w:bookmarkEnd w:id="75"/>
    </w:p>
    <w:p>
      <w:pPr>
        <w:pageBreakBefore w:val="0"/>
        <w:widowControl w:val="0"/>
        <w:kinsoku/>
        <w:wordWrap/>
        <w:overflowPunct/>
        <w:topLinePunct w:val="0"/>
        <w:bidi w:val="0"/>
        <w:spacing w:beforeLines="0" w:afterLines="0" w:line="580" w:lineRule="exact"/>
        <w:textAlignment w:val="auto"/>
        <w:rPr>
          <w:color w:val="auto"/>
          <w:highlight w:val="none"/>
        </w:rPr>
      </w:pPr>
      <w:r>
        <w:rPr>
          <w:color w:val="auto"/>
          <w:highlight w:val="none"/>
        </w:rPr>
        <w:t>按照“</w:t>
      </w:r>
      <w:r>
        <w:rPr>
          <w:rFonts w:hint="eastAsia"/>
          <w:color w:val="auto"/>
          <w:highlight w:val="none"/>
          <w:lang w:val="en-US" w:eastAsia="zh-CN"/>
        </w:rPr>
        <w:t>4</w:t>
      </w:r>
      <w:r>
        <w:rPr>
          <w:color w:val="auto"/>
          <w:highlight w:val="none"/>
        </w:rPr>
        <w:t>+N”体系的主导产业划分，全市在移动智能终端、LED、VR</w:t>
      </w:r>
      <w:r>
        <w:rPr>
          <w:rFonts w:hint="eastAsia"/>
          <w:color w:val="auto"/>
          <w:highlight w:val="none"/>
          <w:lang w:eastAsia="zh-CN"/>
        </w:rPr>
        <w:t>、</w:t>
      </w:r>
      <w:r>
        <w:rPr>
          <w:rFonts w:hint="eastAsia"/>
          <w:color w:val="auto"/>
          <w:highlight w:val="none"/>
          <w:lang w:val="en-US" w:eastAsia="zh-CN"/>
        </w:rPr>
        <w:t>5G</w:t>
      </w:r>
      <w:r>
        <w:rPr>
          <w:color w:val="auto"/>
          <w:highlight w:val="none"/>
        </w:rPr>
        <w:t>等“</w:t>
      </w:r>
      <w:r>
        <w:rPr>
          <w:rFonts w:hint="eastAsia"/>
          <w:color w:val="auto"/>
          <w:highlight w:val="none"/>
          <w:lang w:val="en-US" w:eastAsia="zh-CN"/>
        </w:rPr>
        <w:t>4</w:t>
      </w:r>
      <w:r>
        <w:rPr>
          <w:color w:val="auto"/>
          <w:highlight w:val="none"/>
        </w:rPr>
        <w:t>”个</w:t>
      </w:r>
      <w:r>
        <w:rPr>
          <w:rFonts w:hint="eastAsia"/>
          <w:color w:val="auto"/>
          <w:highlight w:val="none"/>
        </w:rPr>
        <w:t>主导</w:t>
      </w:r>
      <w:r>
        <w:rPr>
          <w:color w:val="auto"/>
          <w:highlight w:val="none"/>
        </w:rPr>
        <w:t>优势领域和“N”个</w:t>
      </w:r>
      <w:r>
        <w:rPr>
          <w:rFonts w:hint="eastAsia"/>
          <w:color w:val="auto"/>
          <w:highlight w:val="none"/>
        </w:rPr>
        <w:t>新兴电子信息产业</w:t>
      </w:r>
      <w:r>
        <w:rPr>
          <w:color w:val="auto"/>
          <w:highlight w:val="none"/>
        </w:rPr>
        <w:t>将分别打造千亿级规模产业和百亿级规模产业。</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3"/>
        <w:textAlignment w:val="auto"/>
        <w:rPr>
          <w:color w:val="auto"/>
          <w:highlight w:val="none"/>
        </w:rPr>
      </w:pPr>
      <w:r>
        <w:rPr>
          <w:b/>
          <w:bCs/>
          <w:color w:val="auto"/>
          <w:highlight w:val="none"/>
        </w:rPr>
        <w:t>（</w:t>
      </w:r>
      <w:r>
        <w:rPr>
          <w:rFonts w:hint="eastAsia"/>
          <w:b/>
          <w:bCs/>
          <w:color w:val="auto"/>
          <w:highlight w:val="none"/>
        </w:rPr>
        <w:t>1</w:t>
      </w:r>
      <w:r>
        <w:rPr>
          <w:b/>
          <w:bCs/>
          <w:color w:val="auto"/>
          <w:highlight w:val="none"/>
        </w:rPr>
        <w:t>）移动智能终端</w:t>
      </w:r>
      <w:r>
        <w:rPr>
          <w:color w:val="auto"/>
          <w:highlight w:val="none"/>
        </w:rPr>
        <w:t>。</w:t>
      </w:r>
      <w:r>
        <w:rPr>
          <w:rFonts w:hint="eastAsia"/>
          <w:color w:val="auto"/>
          <w:highlight w:val="none"/>
          <w:lang w:eastAsia="zh-CN"/>
        </w:rPr>
        <w:t>力争</w:t>
      </w:r>
      <w:r>
        <w:rPr>
          <w:color w:val="auto"/>
          <w:highlight w:val="none"/>
        </w:rPr>
        <w:t>培养</w:t>
      </w:r>
      <w:r>
        <w:rPr>
          <w:rFonts w:hint="eastAsia"/>
          <w:color w:val="auto"/>
          <w:highlight w:val="none"/>
          <w:lang w:val="en-US" w:eastAsia="zh-CN"/>
        </w:rPr>
        <w:t>1家千亿级企业、2家500亿级企业、</w:t>
      </w:r>
      <w:r>
        <w:rPr>
          <w:color w:val="auto"/>
          <w:highlight w:val="none"/>
        </w:rPr>
        <w:t>5家</w:t>
      </w:r>
      <w:r>
        <w:rPr>
          <w:rFonts w:hint="eastAsia"/>
          <w:color w:val="auto"/>
          <w:highlight w:val="none"/>
          <w:lang w:val="en-US" w:eastAsia="zh-CN"/>
        </w:rPr>
        <w:t>300</w:t>
      </w:r>
      <w:r>
        <w:rPr>
          <w:color w:val="auto"/>
          <w:highlight w:val="none"/>
        </w:rPr>
        <w:t>亿级龙头企业，继续做强做大华勤、龙旗、天珑、欧菲光、联创电子、同兴达、春秋电子、祥</w:t>
      </w:r>
      <w:r>
        <w:rPr>
          <w:rFonts w:hint="eastAsia" w:ascii="宋体" w:hAnsi="宋体" w:eastAsia="宋体" w:cs="宋体"/>
          <w:color w:val="auto"/>
          <w:highlight w:val="none"/>
        </w:rPr>
        <w:t>喆</w:t>
      </w:r>
      <w:r>
        <w:rPr>
          <w:rFonts w:hint="eastAsia" w:ascii="仿宋_GB2312" w:hAnsi="仿宋_GB2312" w:cs="仿宋_GB2312"/>
          <w:color w:val="auto"/>
          <w:highlight w:val="none"/>
        </w:rPr>
        <w:t>精密、合力泰等整机和细分领域龙头企业。加快引进一批液晶面板、显示屏、主控板卡、存储芯片、半导体功率器件及射频器件、电池、散热模块、充电器及数据线、</w:t>
      </w:r>
      <w:r>
        <w:rPr>
          <w:color w:val="auto"/>
          <w:highlight w:val="none"/>
        </w:rPr>
        <w:t>PCB等移动终端缺链环节配套企业，不断完善智能终端产业生态环境，全面提升手机制造能力。积极争取世界知名品牌在昌打造物流及结算中心，扩大南昌整机终端影响力。</w:t>
      </w:r>
      <w:r>
        <w:rPr>
          <w:rFonts w:hint="eastAsia"/>
          <w:color w:val="auto"/>
          <w:highlight w:val="none"/>
        </w:rPr>
        <w:t>力争到2025年，移动智能终端产业规模达到3000亿元，其中手机年产量达到2-3亿台，笔记本电脑年产量达到4000-5000万台规模，手机和笔记本电脑</w:t>
      </w:r>
      <w:r>
        <w:rPr>
          <w:color w:val="auto"/>
          <w:highlight w:val="none"/>
        </w:rPr>
        <w:t>ODM</w:t>
      </w:r>
      <w:r>
        <w:rPr>
          <w:rFonts w:hint="eastAsia"/>
          <w:color w:val="auto"/>
          <w:highlight w:val="none"/>
        </w:rPr>
        <w:t>产量进入全国前三。</w:t>
      </w:r>
      <w:r>
        <w:rPr>
          <w:rFonts w:hint="eastAsia"/>
          <w:color w:val="auto"/>
          <w:highlight w:val="none"/>
          <w:lang w:eastAsia="zh-CN"/>
        </w:rPr>
        <w:t>到</w:t>
      </w:r>
      <w:r>
        <w:rPr>
          <w:color w:val="auto"/>
          <w:highlight w:val="none"/>
        </w:rPr>
        <w:t>20</w:t>
      </w:r>
      <w:r>
        <w:rPr>
          <w:rFonts w:hint="eastAsia"/>
          <w:color w:val="auto"/>
          <w:highlight w:val="none"/>
          <w:lang w:val="en-US" w:eastAsia="zh-CN"/>
        </w:rPr>
        <w:t>30</w:t>
      </w:r>
      <w:r>
        <w:rPr>
          <w:color w:val="auto"/>
          <w:highlight w:val="none"/>
        </w:rPr>
        <w:t>年</w:t>
      </w:r>
      <w:r>
        <w:rPr>
          <w:rFonts w:hint="eastAsia"/>
          <w:color w:val="auto"/>
          <w:highlight w:val="none"/>
          <w:lang w:eastAsia="zh-CN"/>
        </w:rPr>
        <w:t>，</w:t>
      </w:r>
      <w:r>
        <w:rPr>
          <w:color w:val="auto"/>
          <w:highlight w:val="none"/>
        </w:rPr>
        <w:t>达到</w:t>
      </w:r>
      <w:r>
        <w:rPr>
          <w:rFonts w:hint="eastAsia"/>
          <w:color w:val="auto"/>
          <w:highlight w:val="none"/>
          <w:lang w:val="en-US" w:eastAsia="zh-CN"/>
        </w:rPr>
        <w:t>6</w:t>
      </w:r>
      <w:r>
        <w:rPr>
          <w:color w:val="auto"/>
          <w:highlight w:val="none"/>
        </w:rPr>
        <w:t>000亿级</w:t>
      </w:r>
      <w:r>
        <w:rPr>
          <w:rFonts w:hint="eastAsia"/>
          <w:color w:val="auto"/>
          <w:highlight w:val="none"/>
        </w:rPr>
        <w:t>规模</w:t>
      </w:r>
      <w:r>
        <w:rPr>
          <w:color w:val="auto"/>
          <w:highlight w:val="none"/>
        </w:rPr>
        <w:t>。</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textAlignment w:val="auto"/>
        <w:rPr>
          <w:color w:val="auto"/>
          <w:highlight w:val="none"/>
        </w:rPr>
      </w:pPr>
      <w:r>
        <w:rPr>
          <w:b/>
          <w:bCs/>
          <w:color w:val="auto"/>
          <w:highlight w:val="none"/>
          <w:lang w:val="en-GB"/>
        </w:rPr>
        <w:t>（</w:t>
      </w:r>
      <w:r>
        <w:rPr>
          <w:rFonts w:hint="eastAsia"/>
          <w:b/>
          <w:bCs/>
          <w:color w:val="auto"/>
          <w:highlight w:val="none"/>
        </w:rPr>
        <w:t>2</w:t>
      </w:r>
      <w:r>
        <w:rPr>
          <w:b/>
          <w:bCs/>
          <w:color w:val="auto"/>
          <w:highlight w:val="none"/>
          <w:lang w:val="en-GB"/>
        </w:rPr>
        <w:t>）LED</w:t>
      </w:r>
      <w:r>
        <w:rPr>
          <w:color w:val="auto"/>
          <w:highlight w:val="none"/>
          <w:lang w:val="en-GB"/>
        </w:rPr>
        <w:t>。</w:t>
      </w:r>
      <w:r>
        <w:rPr>
          <w:color w:val="auto"/>
          <w:highlight w:val="none"/>
        </w:rPr>
        <w:t>打造以硅衬底LED为特色的“南昌光谷”。</w:t>
      </w:r>
      <w:r>
        <w:rPr>
          <w:color w:val="auto"/>
          <w:highlight w:val="none"/>
          <w:lang w:val="en-GB"/>
        </w:rPr>
        <w:t>构建国家级工程实验室，在</w:t>
      </w:r>
      <w:r>
        <w:rPr>
          <w:color w:val="auto"/>
          <w:highlight w:val="none"/>
        </w:rPr>
        <w:t>器件设计、</w:t>
      </w:r>
      <w:r>
        <w:rPr>
          <w:color w:val="auto"/>
          <w:highlight w:val="none"/>
          <w:lang w:val="en-GB"/>
        </w:rPr>
        <w:t>制造、封装、</w:t>
      </w:r>
      <w:r>
        <w:rPr>
          <w:color w:val="auto"/>
          <w:highlight w:val="none"/>
        </w:rPr>
        <w:t>行业应用等</w:t>
      </w:r>
      <w:r>
        <w:rPr>
          <w:color w:val="auto"/>
          <w:highlight w:val="none"/>
          <w:lang w:val="en-GB"/>
        </w:rPr>
        <w:t>环节</w:t>
      </w:r>
      <w:r>
        <w:rPr>
          <w:color w:val="auto"/>
          <w:highlight w:val="none"/>
        </w:rPr>
        <w:t>形成</w:t>
      </w:r>
      <w:r>
        <w:rPr>
          <w:color w:val="auto"/>
          <w:highlight w:val="none"/>
          <w:lang w:val="en-GB"/>
        </w:rPr>
        <w:t>自主知识产权</w:t>
      </w:r>
      <w:r>
        <w:rPr>
          <w:color w:val="auto"/>
          <w:highlight w:val="none"/>
        </w:rPr>
        <w:t>库和引领性标准</w:t>
      </w:r>
      <w:r>
        <w:rPr>
          <w:color w:val="auto"/>
          <w:highlight w:val="none"/>
          <w:lang w:val="en-GB"/>
        </w:rPr>
        <w:t>，</w:t>
      </w:r>
      <w:r>
        <w:rPr>
          <w:color w:val="auto"/>
          <w:highlight w:val="none"/>
        </w:rPr>
        <w:t>提升硅衬底LED</w:t>
      </w:r>
      <w:r>
        <w:rPr>
          <w:color w:val="auto"/>
          <w:highlight w:val="none"/>
          <w:lang w:val="en-GB"/>
        </w:rPr>
        <w:t>技术路线</w:t>
      </w:r>
      <w:r>
        <w:rPr>
          <w:color w:val="auto"/>
          <w:highlight w:val="none"/>
        </w:rPr>
        <w:t>的成果转化水平</w:t>
      </w:r>
      <w:r>
        <w:rPr>
          <w:color w:val="auto"/>
          <w:highlight w:val="none"/>
          <w:lang w:val="en-GB"/>
        </w:rPr>
        <w:t>。以应用促发展，重点围绕汽车产业链、移动智能终端产业链、紫外应用、移动照明、新型显示（mini/micro LED）、第三代半导体材料等领域，支持硅基LED中高端照明和特种照明应用项目，支持硅衬底汽车车灯扩大市场规模，鼓励车企采用硅基LED车灯。力争五年内在南昌打造专业级高端照明的300亿硅衬底LED产业集群，加上引进配套，形成500亿元规模，培育3-4家上市企业。</w:t>
      </w:r>
      <w:r>
        <w:rPr>
          <w:rFonts w:hint="eastAsia"/>
          <w:color w:val="auto"/>
          <w:highlight w:val="none"/>
        </w:rPr>
        <w:t>力争到2025年，</w:t>
      </w:r>
      <w:r>
        <w:rPr>
          <w:color w:val="auto"/>
          <w:highlight w:val="none"/>
        </w:rPr>
        <w:t>LED产业规模达到500亿元，LED外延芯片年产量达到2200-2500万片（折合成4英寸片），LED封装</w:t>
      </w:r>
      <w:r>
        <w:rPr>
          <w:rFonts w:hint="eastAsia"/>
          <w:color w:val="auto"/>
          <w:highlight w:val="none"/>
        </w:rPr>
        <w:t>年</w:t>
      </w:r>
      <w:r>
        <w:rPr>
          <w:color w:val="auto"/>
          <w:highlight w:val="none"/>
        </w:rPr>
        <w:t>产量达到80-90万KK</w:t>
      </w:r>
      <w:r>
        <w:rPr>
          <w:rStyle w:val="37"/>
          <w:color w:val="auto"/>
          <w:highlight w:val="none"/>
        </w:rPr>
        <w:footnoteReference w:id="2"/>
      </w:r>
      <w:r>
        <w:rPr>
          <w:color w:val="auto"/>
          <w:highlight w:val="none"/>
        </w:rPr>
        <w:t>，LED外延芯片和封装产量进入全国前五</w:t>
      </w:r>
      <w:r>
        <w:rPr>
          <w:rFonts w:hint="eastAsia"/>
          <w:color w:val="auto"/>
          <w:highlight w:val="none"/>
        </w:rPr>
        <w:t>。</w:t>
      </w:r>
      <w:r>
        <w:rPr>
          <w:rFonts w:hint="eastAsia"/>
          <w:color w:val="auto"/>
          <w:highlight w:val="none"/>
          <w:lang w:eastAsia="zh-CN"/>
        </w:rPr>
        <w:t>到</w:t>
      </w:r>
      <w:r>
        <w:rPr>
          <w:color w:val="auto"/>
          <w:highlight w:val="none"/>
        </w:rPr>
        <w:t>20</w:t>
      </w:r>
      <w:r>
        <w:rPr>
          <w:rFonts w:hint="eastAsia"/>
          <w:color w:val="auto"/>
          <w:highlight w:val="none"/>
          <w:lang w:val="en-US" w:eastAsia="zh-CN"/>
        </w:rPr>
        <w:t>30</w:t>
      </w:r>
      <w:r>
        <w:rPr>
          <w:color w:val="auto"/>
          <w:highlight w:val="none"/>
        </w:rPr>
        <w:t>年</w:t>
      </w:r>
      <w:r>
        <w:rPr>
          <w:rFonts w:hint="eastAsia"/>
          <w:color w:val="auto"/>
          <w:highlight w:val="none"/>
          <w:lang w:eastAsia="zh-CN"/>
        </w:rPr>
        <w:t>，</w:t>
      </w:r>
      <w:r>
        <w:rPr>
          <w:color w:val="auto"/>
          <w:highlight w:val="none"/>
        </w:rPr>
        <w:t>达到</w:t>
      </w:r>
      <w:r>
        <w:rPr>
          <w:rFonts w:hint="eastAsia"/>
          <w:color w:val="auto"/>
          <w:highlight w:val="none"/>
          <w:lang w:val="en-US" w:eastAsia="zh-CN"/>
        </w:rPr>
        <w:t>10</w:t>
      </w:r>
      <w:r>
        <w:rPr>
          <w:color w:val="auto"/>
          <w:highlight w:val="none"/>
        </w:rPr>
        <w:t>00亿级</w:t>
      </w:r>
      <w:r>
        <w:rPr>
          <w:rFonts w:hint="eastAsia"/>
          <w:color w:val="auto"/>
          <w:highlight w:val="none"/>
        </w:rPr>
        <w:t>规模</w:t>
      </w:r>
      <w:r>
        <w:rPr>
          <w:color w:val="auto"/>
          <w:highlight w:val="none"/>
        </w:rPr>
        <w:t>。</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textAlignment w:val="auto"/>
        <w:rPr>
          <w:color w:val="auto"/>
          <w:highlight w:val="none"/>
        </w:rPr>
      </w:pPr>
      <w:r>
        <w:rPr>
          <w:b/>
          <w:bCs/>
          <w:color w:val="auto"/>
          <w:highlight w:val="none"/>
          <w:lang w:val="en-GB"/>
        </w:rPr>
        <w:t>（</w:t>
      </w:r>
      <w:r>
        <w:rPr>
          <w:rFonts w:hint="eastAsia"/>
          <w:b/>
          <w:bCs/>
          <w:color w:val="auto"/>
          <w:highlight w:val="none"/>
        </w:rPr>
        <w:t>3</w:t>
      </w:r>
      <w:r>
        <w:rPr>
          <w:b/>
          <w:bCs/>
          <w:color w:val="auto"/>
          <w:highlight w:val="none"/>
          <w:lang w:val="en-GB"/>
        </w:rPr>
        <w:t>）VR</w:t>
      </w:r>
      <w:r>
        <w:rPr>
          <w:color w:val="auto"/>
          <w:highlight w:val="none"/>
          <w:lang w:val="en-GB"/>
        </w:rPr>
        <w:t>。</w:t>
      </w:r>
      <w:r>
        <w:rPr>
          <w:rFonts w:hint="eastAsia"/>
          <w:color w:val="auto"/>
          <w:highlight w:val="none"/>
          <w:lang w:val="en-GB" w:eastAsia="zh-CN"/>
        </w:rPr>
        <w:t>创建</w:t>
      </w:r>
      <w:r>
        <w:rPr>
          <w:color w:val="auto"/>
          <w:highlight w:val="none"/>
          <w:lang w:val="en-GB"/>
        </w:rPr>
        <w:t>国家级VR创新中心，</w:t>
      </w:r>
      <w:r>
        <w:rPr>
          <w:rFonts w:hint="eastAsia"/>
          <w:color w:val="auto"/>
          <w:highlight w:val="none"/>
          <w:lang w:eastAsia="zh-CN"/>
        </w:rPr>
        <w:t>打造</w:t>
      </w:r>
      <w:r>
        <w:rPr>
          <w:color w:val="auto"/>
          <w:highlight w:val="none"/>
        </w:rPr>
        <w:t>“世界级VR中心”城市品牌</w:t>
      </w:r>
      <w:r>
        <w:rPr>
          <w:color w:val="auto"/>
          <w:highlight w:val="none"/>
          <w:lang w:val="en-GB"/>
        </w:rPr>
        <w:t>。</w:t>
      </w:r>
      <w:r>
        <w:rPr>
          <w:color w:val="auto"/>
          <w:highlight w:val="none"/>
        </w:rPr>
        <w:t>坚持平台载链、招引补链、龙头带链、创新强链、协同扩链，</w:t>
      </w:r>
      <w:r>
        <w:rPr>
          <w:color w:val="auto"/>
          <w:highlight w:val="none"/>
          <w:lang w:val="en-GB"/>
        </w:rPr>
        <w:t>加速推进规模化、特色化、体系化虚拟现实产业集聚，着力构建VR产业的“产、学、研、用、融”一体化生态圈体系，全面提升VR产业服务的核心支撑能力。</w:t>
      </w:r>
      <w:r>
        <w:rPr>
          <w:rFonts w:hint="eastAsia"/>
          <w:color w:val="auto"/>
          <w:highlight w:val="none"/>
        </w:rPr>
        <w:t>力争到2025年，</w:t>
      </w:r>
      <w:r>
        <w:rPr>
          <w:color w:val="auto"/>
          <w:highlight w:val="none"/>
        </w:rPr>
        <w:t>VR及相关产业规模达到1000亿元，其中VR</w:t>
      </w:r>
      <w:r>
        <w:rPr>
          <w:rFonts w:hint="eastAsia"/>
          <w:color w:val="auto"/>
          <w:highlight w:val="none"/>
        </w:rPr>
        <w:t>营业</w:t>
      </w:r>
      <w:r>
        <w:rPr>
          <w:color w:val="auto"/>
          <w:highlight w:val="none"/>
        </w:rPr>
        <w:t>收入达到100亿元，聚集30家以上中国VR</w:t>
      </w:r>
      <w:r>
        <w:rPr>
          <w:rFonts w:hint="eastAsia"/>
          <w:color w:val="auto"/>
          <w:highlight w:val="none"/>
        </w:rPr>
        <w:t xml:space="preserve"> </w:t>
      </w:r>
      <w:r>
        <w:rPr>
          <w:color w:val="auto"/>
          <w:highlight w:val="none"/>
        </w:rPr>
        <w:t>50强企业。到20</w:t>
      </w:r>
      <w:r>
        <w:rPr>
          <w:rFonts w:hint="eastAsia"/>
          <w:color w:val="auto"/>
          <w:highlight w:val="none"/>
          <w:lang w:val="en-US" w:eastAsia="zh-CN"/>
        </w:rPr>
        <w:t>30</w:t>
      </w:r>
      <w:r>
        <w:rPr>
          <w:color w:val="auto"/>
          <w:highlight w:val="none"/>
        </w:rPr>
        <w:t>年</w:t>
      </w:r>
      <w:r>
        <w:rPr>
          <w:rFonts w:hint="eastAsia"/>
          <w:color w:val="auto"/>
          <w:highlight w:val="none"/>
          <w:lang w:eastAsia="zh-CN"/>
        </w:rPr>
        <w:t>，达到</w:t>
      </w:r>
      <w:r>
        <w:rPr>
          <w:rFonts w:hint="eastAsia"/>
          <w:color w:val="auto"/>
          <w:highlight w:val="none"/>
          <w:lang w:val="en-US" w:eastAsia="zh-CN"/>
        </w:rPr>
        <w:t>20</w:t>
      </w:r>
      <w:r>
        <w:rPr>
          <w:color w:val="auto"/>
          <w:highlight w:val="none"/>
        </w:rPr>
        <w:t>00亿级</w:t>
      </w:r>
      <w:r>
        <w:rPr>
          <w:rFonts w:hint="eastAsia"/>
          <w:color w:val="auto"/>
          <w:highlight w:val="none"/>
        </w:rPr>
        <w:t>规模</w:t>
      </w:r>
      <w:r>
        <w:rPr>
          <w:color w:val="auto"/>
          <w:highlight w:val="none"/>
        </w:rPr>
        <w:t>。</w:t>
      </w:r>
    </w:p>
    <w:p>
      <w:pPr>
        <w:pageBreakBefore w:val="0"/>
        <w:widowControl w:val="0"/>
        <w:kinsoku/>
        <w:wordWrap/>
        <w:overflowPunct/>
        <w:topLinePunct w:val="0"/>
        <w:bidi w:val="0"/>
        <w:spacing w:beforeLines="0" w:afterLines="0" w:line="580" w:lineRule="exact"/>
        <w:ind w:firstLine="643"/>
        <w:textAlignment w:val="auto"/>
        <w:rPr>
          <w:rFonts w:hint="default"/>
          <w:b w:val="0"/>
          <w:bCs w:val="0"/>
          <w:color w:val="auto"/>
          <w:highlight w:val="none"/>
          <w:lang w:val="en-GB"/>
        </w:rPr>
      </w:pPr>
      <w:r>
        <w:rPr>
          <w:b/>
          <w:bCs/>
          <w:color w:val="auto"/>
          <w:highlight w:val="none"/>
          <w:lang w:val="en-GB"/>
        </w:rPr>
        <w:t>（</w:t>
      </w:r>
      <w:r>
        <w:rPr>
          <w:rFonts w:hint="default"/>
          <w:b/>
          <w:bCs/>
          <w:color w:val="auto"/>
          <w:highlight w:val="none"/>
          <w:lang w:val="en-GB" w:eastAsia="zh-CN"/>
        </w:rPr>
        <w:t>4</w:t>
      </w:r>
      <w:r>
        <w:rPr>
          <w:b/>
          <w:bCs/>
          <w:color w:val="auto"/>
          <w:highlight w:val="none"/>
          <w:lang w:val="en-GB"/>
        </w:rPr>
        <w:t>）5G。</w:t>
      </w:r>
      <w:r>
        <w:rPr>
          <w:color w:val="auto"/>
          <w:highlight w:val="none"/>
          <w:lang w:val="en-GB"/>
        </w:rPr>
        <w:t>打造一个全国有重要影响力和省内率先引领的5G产业集聚发展新高地。依托高新区电子信息和光电产业良好基础，以“布局基础产业、赋能关联产业、培引产业集聚”三条产业路径为切入点，培育延伸5G产业链，尽快推动“5G+VR”“5G+智能汽车”“5G+工业互联网”“5G+超高清”等5G行业应用示范。2025年目标达到</w:t>
      </w:r>
      <w:r>
        <w:rPr>
          <w:rFonts w:hint="eastAsia"/>
          <w:color w:val="auto"/>
          <w:highlight w:val="none"/>
          <w:lang w:val="en-US" w:eastAsia="zh-CN"/>
        </w:rPr>
        <w:t>10</w:t>
      </w:r>
      <w:r>
        <w:rPr>
          <w:color w:val="auto"/>
          <w:highlight w:val="none"/>
          <w:lang w:val="en-GB"/>
        </w:rPr>
        <w:t>00亿级规模，20</w:t>
      </w:r>
      <w:r>
        <w:rPr>
          <w:rFonts w:hint="eastAsia"/>
          <w:color w:val="auto"/>
          <w:highlight w:val="none"/>
          <w:lang w:val="en-US" w:eastAsia="zh-CN"/>
        </w:rPr>
        <w:t>30</w:t>
      </w:r>
      <w:r>
        <w:rPr>
          <w:color w:val="auto"/>
          <w:highlight w:val="none"/>
          <w:lang w:val="en-GB"/>
        </w:rPr>
        <w:t>年目标达到</w:t>
      </w:r>
      <w:r>
        <w:rPr>
          <w:rFonts w:hint="eastAsia"/>
          <w:color w:val="auto"/>
          <w:highlight w:val="none"/>
          <w:lang w:val="en-US" w:eastAsia="zh-CN"/>
        </w:rPr>
        <w:t>15</w:t>
      </w:r>
      <w:r>
        <w:rPr>
          <w:color w:val="auto"/>
          <w:highlight w:val="none"/>
          <w:lang w:val="en-GB"/>
        </w:rPr>
        <w:t>00亿级规模。</w:t>
      </w:r>
    </w:p>
    <w:p>
      <w:pPr>
        <w:pStyle w:val="52"/>
        <w:keepNext w:val="0"/>
        <w:keepLines w:val="0"/>
        <w:pageBreakBefore w:val="0"/>
        <w:widowControl w:val="0"/>
        <w:kinsoku/>
        <w:wordWrap/>
        <w:overflowPunct/>
        <w:topLinePunct w:val="0"/>
        <w:autoSpaceDE/>
        <w:autoSpaceDN/>
        <w:bidi w:val="0"/>
        <w:adjustRightInd/>
        <w:spacing w:beforeLines="0" w:afterLines="0" w:line="580" w:lineRule="exact"/>
        <w:ind w:firstLine="643"/>
        <w:textAlignment w:val="auto"/>
        <w:rPr>
          <w:rFonts w:cs="Times New Roman"/>
          <w:highlight w:val="none"/>
        </w:rPr>
      </w:pPr>
      <w:r>
        <w:rPr>
          <w:rFonts w:cs="Times New Roman"/>
          <w:b/>
          <w:bCs/>
          <w:highlight w:val="none"/>
          <w:lang w:val="en-GB"/>
        </w:rPr>
        <w:t>（</w:t>
      </w:r>
      <w:r>
        <w:rPr>
          <w:rFonts w:hint="eastAsia" w:cs="Times New Roman"/>
          <w:b/>
          <w:bCs/>
          <w:highlight w:val="none"/>
          <w:lang w:val="en-US" w:eastAsia="zh-CN"/>
        </w:rPr>
        <w:t>5</w:t>
      </w:r>
      <w:r>
        <w:rPr>
          <w:rFonts w:cs="Times New Roman"/>
          <w:b/>
          <w:bCs/>
          <w:highlight w:val="none"/>
          <w:lang w:val="en-GB"/>
        </w:rPr>
        <w:t>）</w:t>
      </w:r>
      <w:r>
        <w:rPr>
          <w:rFonts w:hint="eastAsia" w:cs="Times New Roman"/>
          <w:b/>
          <w:bCs/>
          <w:highlight w:val="none"/>
        </w:rPr>
        <w:t>新兴电子信息产</w:t>
      </w:r>
      <w:r>
        <w:rPr>
          <w:rFonts w:cs="Times New Roman"/>
          <w:b/>
          <w:bCs/>
          <w:highlight w:val="none"/>
        </w:rPr>
        <w:t>业</w:t>
      </w:r>
      <w:r>
        <w:rPr>
          <w:rFonts w:cs="Times New Roman"/>
          <w:highlight w:val="none"/>
        </w:rPr>
        <w:t>。做大做强软件和信息服务业产业规模，围绕软件、通信、互联网、人工智能、大数据、云计算、区块链等重点领域开展行动，明确发展路径，培育和引入信息服务业高端人才。</w:t>
      </w:r>
      <w:r>
        <w:rPr>
          <w:rFonts w:cs="Times New Roman"/>
          <w:highlight w:val="none"/>
          <w:lang w:val="en-GB"/>
        </w:rPr>
        <w:t>围绕</w:t>
      </w:r>
      <w:r>
        <w:rPr>
          <w:rFonts w:hint="eastAsia" w:cs="Times New Roman"/>
          <w:highlight w:val="none"/>
        </w:rPr>
        <w:t>新型显示、物联网</w:t>
      </w:r>
      <w:r>
        <w:rPr>
          <w:rFonts w:cs="Times New Roman"/>
          <w:highlight w:val="none"/>
          <w:lang w:val="en-GB"/>
        </w:rPr>
        <w:t>等</w:t>
      </w:r>
      <w:r>
        <w:rPr>
          <w:rFonts w:cs="Times New Roman"/>
          <w:highlight w:val="none"/>
        </w:rPr>
        <w:t>新一代信息技术</w:t>
      </w:r>
      <w:r>
        <w:rPr>
          <w:rFonts w:cs="Times New Roman"/>
          <w:highlight w:val="none"/>
          <w:lang w:val="en-GB"/>
        </w:rPr>
        <w:t>前沿技术</w:t>
      </w:r>
      <w:r>
        <w:rPr>
          <w:rFonts w:cs="Times New Roman"/>
          <w:highlight w:val="none"/>
        </w:rPr>
        <w:t>领域</w:t>
      </w:r>
      <w:r>
        <w:rPr>
          <w:rFonts w:cs="Times New Roman"/>
          <w:highlight w:val="none"/>
          <w:lang w:val="en-GB"/>
        </w:rPr>
        <w:t>，</w:t>
      </w:r>
      <w:r>
        <w:rPr>
          <w:rFonts w:cs="Times New Roman"/>
          <w:highlight w:val="none"/>
        </w:rPr>
        <w:t>加大优秀项目招引力度，鼓励龙头企业进行产业链招引，</w:t>
      </w:r>
      <w:r>
        <w:rPr>
          <w:rFonts w:cs="Times New Roman"/>
          <w:highlight w:val="none"/>
          <w:lang w:val="en-GB"/>
        </w:rPr>
        <w:t>积极布局</w:t>
      </w:r>
      <w:r>
        <w:rPr>
          <w:rFonts w:cs="Times New Roman"/>
          <w:highlight w:val="none"/>
        </w:rPr>
        <w:t>抢占前沿发展阵地。</w:t>
      </w:r>
      <w:r>
        <w:rPr>
          <w:rFonts w:hint="eastAsia" w:cs="Times New Roman"/>
          <w:highlight w:val="none"/>
          <w:lang w:eastAsia="zh-CN"/>
        </w:rPr>
        <w:t>力争到</w:t>
      </w:r>
      <w:r>
        <w:rPr>
          <w:rFonts w:cs="Times New Roman"/>
          <w:highlight w:val="none"/>
        </w:rPr>
        <w:t>2025年</w:t>
      </w:r>
      <w:r>
        <w:rPr>
          <w:rFonts w:hint="eastAsia" w:cs="Times New Roman"/>
          <w:highlight w:val="none"/>
          <w:lang w:eastAsia="zh-CN"/>
        </w:rPr>
        <w:t>，</w:t>
      </w:r>
      <w:r>
        <w:rPr>
          <w:rFonts w:cs="Times New Roman"/>
          <w:highlight w:val="none"/>
        </w:rPr>
        <w:t>打造若干个100亿级</w:t>
      </w:r>
      <w:r>
        <w:rPr>
          <w:rFonts w:hint="eastAsia" w:cs="Times New Roman"/>
          <w:highlight w:val="none"/>
        </w:rPr>
        <w:t>产业</w:t>
      </w:r>
      <w:r>
        <w:rPr>
          <w:rFonts w:hint="eastAsia" w:cs="Times New Roman"/>
          <w:highlight w:val="none"/>
          <w:lang w:eastAsia="zh-CN"/>
        </w:rPr>
        <w:t>；</w:t>
      </w:r>
      <w:r>
        <w:rPr>
          <w:rFonts w:cs="Times New Roman"/>
          <w:highlight w:val="none"/>
        </w:rPr>
        <w:t>20</w:t>
      </w:r>
      <w:r>
        <w:rPr>
          <w:rFonts w:hint="eastAsia" w:cs="Times New Roman"/>
          <w:highlight w:val="none"/>
          <w:lang w:val="en-US" w:eastAsia="zh-CN"/>
        </w:rPr>
        <w:t>30</w:t>
      </w:r>
      <w:r>
        <w:rPr>
          <w:rFonts w:cs="Times New Roman"/>
          <w:highlight w:val="none"/>
        </w:rPr>
        <w:t>年标</w:t>
      </w:r>
      <w:r>
        <w:rPr>
          <w:rFonts w:hint="eastAsia" w:cs="Times New Roman"/>
          <w:highlight w:val="none"/>
          <w:lang w:eastAsia="zh-CN"/>
        </w:rPr>
        <w:t>达到</w:t>
      </w:r>
      <w:r>
        <w:rPr>
          <w:rFonts w:hint="eastAsia" w:cs="Times New Roman"/>
          <w:highlight w:val="none"/>
          <w:lang w:val="en-US" w:eastAsia="zh-CN"/>
        </w:rPr>
        <w:t>1000</w:t>
      </w:r>
      <w:r>
        <w:rPr>
          <w:rFonts w:cs="Times New Roman"/>
          <w:highlight w:val="none"/>
        </w:rPr>
        <w:t>亿级</w:t>
      </w:r>
      <w:r>
        <w:rPr>
          <w:rFonts w:hint="eastAsia"/>
          <w:highlight w:val="none"/>
        </w:rPr>
        <w:t>规模</w:t>
      </w:r>
      <w:r>
        <w:rPr>
          <w:rFonts w:cs="Times New Roman"/>
          <w:highlight w:val="none"/>
        </w:rPr>
        <w:t>。</w:t>
      </w:r>
      <w:bookmarkStart w:id="76" w:name="_Toc14721"/>
    </w:p>
    <w:p>
      <w:pPr>
        <w:pStyle w:val="52"/>
        <w:keepNext w:val="0"/>
        <w:keepLines w:val="0"/>
        <w:pageBreakBefore w:val="0"/>
        <w:widowControl w:val="0"/>
        <w:kinsoku/>
        <w:wordWrap/>
        <w:overflowPunct/>
        <w:topLinePunct w:val="0"/>
        <w:autoSpaceDE/>
        <w:autoSpaceDN/>
        <w:bidi w:val="0"/>
        <w:adjustRightInd/>
        <w:spacing w:beforeLines="0" w:afterLines="0" w:line="580" w:lineRule="exact"/>
        <w:ind w:firstLine="643"/>
        <w:textAlignment w:val="auto"/>
        <w:outlineLvl w:val="0"/>
        <w:rPr>
          <w:rFonts w:eastAsia="黑体"/>
          <w:bCs/>
          <w:color w:val="auto"/>
          <w:kern w:val="44"/>
          <w:highlight w:val="none"/>
        </w:rPr>
      </w:pPr>
      <w:bookmarkStart w:id="77" w:name="_Toc294480432"/>
      <w:bookmarkStart w:id="78" w:name="_Toc88257135"/>
      <w:bookmarkStart w:id="79" w:name="_Toc16796"/>
      <w:r>
        <w:rPr>
          <w:rFonts w:eastAsia="黑体"/>
          <w:bCs/>
          <w:color w:val="auto"/>
          <w:kern w:val="44"/>
          <w:highlight w:val="none"/>
        </w:rPr>
        <w:t>四、重点领域</w:t>
      </w:r>
      <w:bookmarkEnd w:id="76"/>
      <w:bookmarkEnd w:id="77"/>
      <w:bookmarkEnd w:id="78"/>
      <w:bookmarkEnd w:id="79"/>
    </w:p>
    <w:p>
      <w:pPr>
        <w:keepNext w:val="0"/>
        <w:keepLines w:val="0"/>
        <w:pageBreakBefore w:val="0"/>
        <w:widowControl w:val="0"/>
        <w:kinsoku/>
        <w:wordWrap/>
        <w:overflowPunct/>
        <w:topLinePunct w:val="0"/>
        <w:autoSpaceDE/>
        <w:autoSpaceDN/>
        <w:bidi w:val="0"/>
        <w:adjustRightInd/>
        <w:spacing w:beforeLines="0" w:afterLines="0" w:line="580" w:lineRule="exact"/>
        <w:ind w:firstLine="643"/>
        <w:jc w:val="left"/>
        <w:textAlignment w:val="auto"/>
        <w:outlineLvl w:val="1"/>
        <w:rPr>
          <w:rFonts w:eastAsia="楷体_GB2312"/>
          <w:b/>
          <w:bCs/>
          <w:color w:val="auto"/>
          <w:kern w:val="28"/>
          <w:highlight w:val="none"/>
        </w:rPr>
      </w:pPr>
      <w:bookmarkStart w:id="80" w:name="_Toc88257136"/>
      <w:bookmarkStart w:id="81" w:name="_Toc28822"/>
      <w:bookmarkStart w:id="82" w:name="_Toc821697981"/>
      <w:bookmarkStart w:id="83" w:name="_Toc28738"/>
      <w:r>
        <w:rPr>
          <w:rFonts w:eastAsia="楷体_GB2312"/>
          <w:b/>
          <w:bCs/>
          <w:color w:val="auto"/>
          <w:kern w:val="28"/>
          <w:highlight w:val="none"/>
        </w:rPr>
        <w:t>（一）做大做强核心优势产业</w:t>
      </w:r>
      <w:bookmarkEnd w:id="80"/>
      <w:bookmarkEnd w:id="81"/>
      <w:bookmarkEnd w:id="82"/>
      <w:bookmarkEnd w:id="83"/>
    </w:p>
    <w:p>
      <w:pPr>
        <w:keepNext w:val="0"/>
        <w:keepLines w:val="0"/>
        <w:pageBreakBefore w:val="0"/>
        <w:widowControl w:val="0"/>
        <w:kinsoku/>
        <w:wordWrap/>
        <w:overflowPunct/>
        <w:topLinePunct w:val="0"/>
        <w:autoSpaceDE/>
        <w:autoSpaceDN/>
        <w:bidi w:val="0"/>
        <w:adjustRightInd/>
        <w:spacing w:beforeLines="0" w:afterLines="0" w:line="580" w:lineRule="exact"/>
        <w:textAlignment w:val="auto"/>
        <w:rPr>
          <w:color w:val="auto"/>
          <w:highlight w:val="none"/>
          <w:lang w:val="en-GB"/>
        </w:rPr>
      </w:pPr>
      <w:r>
        <w:rPr>
          <w:color w:val="auto"/>
          <w:highlight w:val="none"/>
          <w:lang w:val="en-GB"/>
        </w:rPr>
        <w:t>围绕移动智能终端、LED、</w:t>
      </w:r>
      <w:r>
        <w:rPr>
          <w:rFonts w:hint="eastAsia"/>
          <w:color w:val="auto"/>
          <w:highlight w:val="none"/>
          <w:lang w:val="en-GB"/>
        </w:rPr>
        <w:t>VR</w:t>
      </w:r>
      <w:r>
        <w:rPr>
          <w:rFonts w:hint="eastAsia"/>
          <w:color w:val="auto"/>
          <w:highlight w:val="none"/>
          <w:lang w:val="en-GB" w:eastAsia="zh-CN"/>
        </w:rPr>
        <w:t>、</w:t>
      </w:r>
      <w:r>
        <w:rPr>
          <w:rFonts w:hint="eastAsia"/>
          <w:color w:val="auto"/>
          <w:highlight w:val="none"/>
          <w:lang w:val="en-US" w:eastAsia="zh-CN"/>
        </w:rPr>
        <w:t>5G</w:t>
      </w:r>
      <w:r>
        <w:rPr>
          <w:rFonts w:hint="eastAsia"/>
          <w:color w:val="auto"/>
          <w:highlight w:val="none"/>
          <w:lang w:eastAsia="zh-CN"/>
        </w:rPr>
        <w:t>四</w:t>
      </w:r>
      <w:r>
        <w:rPr>
          <w:color w:val="auto"/>
          <w:highlight w:val="none"/>
          <w:lang w:val="en-GB"/>
        </w:rPr>
        <w:t>大重点领域，打造特色鲜明、产业链完备、领航江西的重要电子信息产业集群。</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textAlignment w:val="auto"/>
        <w:outlineLvl w:val="2"/>
        <w:rPr>
          <w:b/>
          <w:color w:val="auto"/>
          <w:highlight w:val="none"/>
        </w:rPr>
      </w:pPr>
      <w:bookmarkStart w:id="84" w:name="_Toc1001824931"/>
      <w:bookmarkStart w:id="85" w:name="_Toc24228"/>
      <w:bookmarkStart w:id="86" w:name="_Toc18149"/>
      <w:bookmarkStart w:id="87" w:name="_Toc88257137"/>
      <w:r>
        <w:rPr>
          <w:b/>
          <w:color w:val="auto"/>
          <w:highlight w:val="none"/>
        </w:rPr>
        <w:t>1、移动智能终端</w:t>
      </w:r>
      <w:bookmarkEnd w:id="84"/>
      <w:bookmarkEnd w:id="85"/>
      <w:bookmarkEnd w:id="86"/>
      <w:bookmarkEnd w:id="87"/>
    </w:p>
    <w:p>
      <w:pPr>
        <w:keepNext w:val="0"/>
        <w:keepLines w:val="0"/>
        <w:pageBreakBefore w:val="0"/>
        <w:widowControl w:val="0"/>
        <w:kinsoku/>
        <w:wordWrap/>
        <w:overflowPunct/>
        <w:topLinePunct w:val="0"/>
        <w:autoSpaceDE/>
        <w:autoSpaceDN/>
        <w:bidi w:val="0"/>
        <w:adjustRightInd/>
        <w:spacing w:beforeLines="0" w:afterLines="0" w:line="580" w:lineRule="exact"/>
        <w:ind w:firstLine="643"/>
        <w:textAlignment w:val="auto"/>
        <w:outlineLvl w:val="3"/>
        <w:rPr>
          <w:b/>
          <w:bCs/>
          <w:color w:val="auto"/>
          <w:highlight w:val="none"/>
          <w:lang w:val="en-GB"/>
        </w:rPr>
      </w:pPr>
      <w:r>
        <w:rPr>
          <w:b/>
          <w:bCs/>
          <w:color w:val="auto"/>
          <w:highlight w:val="none"/>
          <w:lang w:val="en-GB"/>
        </w:rPr>
        <w:t>（</w:t>
      </w:r>
      <w:r>
        <w:rPr>
          <w:b/>
          <w:bCs/>
          <w:color w:val="auto"/>
          <w:highlight w:val="none"/>
        </w:rPr>
        <w:t>1</w:t>
      </w:r>
      <w:r>
        <w:rPr>
          <w:b/>
          <w:bCs/>
          <w:color w:val="auto"/>
          <w:highlight w:val="none"/>
          <w:lang w:val="en-GB"/>
        </w:rPr>
        <w:t>）重点方向</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textAlignment w:val="auto"/>
        <w:rPr>
          <w:color w:val="auto"/>
          <w:highlight w:val="none"/>
          <w:lang w:val="en-GB"/>
        </w:rPr>
      </w:pPr>
      <w:r>
        <w:rPr>
          <w:b/>
          <w:color w:val="auto"/>
          <w:highlight w:val="none"/>
        </w:rPr>
        <w:t>做大做强</w:t>
      </w:r>
      <w:r>
        <w:rPr>
          <w:b/>
          <w:color w:val="auto"/>
          <w:highlight w:val="none"/>
          <w:lang w:val="en-GB"/>
        </w:rPr>
        <w:t>整机</w:t>
      </w:r>
      <w:r>
        <w:rPr>
          <w:rFonts w:hint="eastAsia"/>
          <w:b/>
          <w:color w:val="auto"/>
          <w:highlight w:val="none"/>
          <w:lang w:val="en-GB"/>
        </w:rPr>
        <w:t>制造</w:t>
      </w:r>
      <w:r>
        <w:rPr>
          <w:b/>
          <w:color w:val="auto"/>
          <w:highlight w:val="none"/>
        </w:rPr>
        <w:t>产业</w:t>
      </w:r>
      <w:r>
        <w:rPr>
          <w:b/>
          <w:color w:val="auto"/>
          <w:highlight w:val="none"/>
          <w:lang w:val="en-GB"/>
        </w:rPr>
        <w:t>。</w:t>
      </w:r>
      <w:r>
        <w:rPr>
          <w:color w:val="auto"/>
          <w:highlight w:val="none"/>
          <w:lang w:val="en-GB"/>
        </w:rPr>
        <w:t>支持高新区进一步集聚移动智能终端产业链上下游企业，支持华勤、龙旗、美晨等ODM企业扩大生产规模，着力培育黑鲨、小辣椒等本地特色终端品牌。积极拓展移动智能终端产品种类，积极引进平板电脑、智能可穿戴、智能家居、智能安防、智能车载终端、智能水电气仪表等终端企业。推动新技术新产品在终端的集成应用，鼓励整机企业开发具备5G应用、全面屏、高清显示屏、柔性显示、人工智能图形处理器、人脸识别、无线充电等新技术的高端移动智能终端。</w:t>
      </w:r>
    </w:p>
    <w:p>
      <w:pPr>
        <w:keepNext w:val="0"/>
        <w:keepLines w:val="0"/>
        <w:pageBreakBefore w:val="0"/>
        <w:widowControl w:val="0"/>
        <w:kinsoku/>
        <w:wordWrap/>
        <w:overflowPunct/>
        <w:topLinePunct w:val="0"/>
        <w:autoSpaceDE/>
        <w:autoSpaceDN/>
        <w:bidi w:val="0"/>
        <w:adjustRightInd/>
        <w:spacing w:beforeLines="0" w:afterLines="0" w:line="560" w:lineRule="exact"/>
        <w:ind w:firstLine="643"/>
        <w:textAlignment w:val="auto"/>
        <w:rPr>
          <w:color w:val="auto"/>
          <w:highlight w:val="none"/>
          <w:lang w:val="en-GB"/>
        </w:rPr>
      </w:pPr>
      <w:r>
        <w:rPr>
          <w:b/>
          <w:color w:val="auto"/>
          <w:highlight w:val="none"/>
        </w:rPr>
        <w:t>延伸</w:t>
      </w:r>
      <w:r>
        <w:rPr>
          <w:b/>
          <w:color w:val="auto"/>
          <w:highlight w:val="none"/>
          <w:lang w:val="en-GB"/>
        </w:rPr>
        <w:t>关键零部件</w:t>
      </w:r>
      <w:r>
        <w:rPr>
          <w:b/>
          <w:color w:val="auto"/>
          <w:highlight w:val="none"/>
        </w:rPr>
        <w:t>产业链</w:t>
      </w:r>
      <w:r>
        <w:rPr>
          <w:b/>
          <w:color w:val="auto"/>
          <w:highlight w:val="none"/>
          <w:lang w:val="en-GB"/>
        </w:rPr>
        <w:t>。</w:t>
      </w:r>
      <w:r>
        <w:rPr>
          <w:color w:val="auto"/>
          <w:highlight w:val="none"/>
          <w:lang w:val="en-GB"/>
        </w:rPr>
        <w:t>支持欧菲光、联创电子等龙头企业继续向产业链上游延伸发展，进一步扩大产能。布局光学镜头、虹膜识别摄像头、摄像头模组、手机闪光灯、受话器、耳机、玻璃盖板、陶瓷后盖等元器件的研发和制造，打造智能终端元器件领域的综合型产业集群。开展屏幕发声、屏下摄像头等新一代视听技术研发创新，抢占未来手机技术发展先机。</w:t>
      </w:r>
    </w:p>
    <w:p>
      <w:pPr>
        <w:keepNext w:val="0"/>
        <w:keepLines w:val="0"/>
        <w:pageBreakBefore w:val="0"/>
        <w:widowControl w:val="0"/>
        <w:kinsoku/>
        <w:wordWrap/>
        <w:overflowPunct/>
        <w:topLinePunct w:val="0"/>
        <w:autoSpaceDE/>
        <w:autoSpaceDN/>
        <w:bidi w:val="0"/>
        <w:adjustRightInd/>
        <w:spacing w:beforeLines="0" w:afterLines="0" w:line="560" w:lineRule="exact"/>
        <w:ind w:firstLine="643"/>
        <w:textAlignment w:val="auto"/>
        <w:rPr>
          <w:color w:val="auto"/>
          <w:highlight w:val="none"/>
          <w:lang w:val="en-GB"/>
        </w:rPr>
      </w:pPr>
      <w:r>
        <w:rPr>
          <w:b/>
          <w:color w:val="auto"/>
          <w:highlight w:val="none"/>
        </w:rPr>
        <w:t>提升</w:t>
      </w:r>
      <w:r>
        <w:rPr>
          <w:b/>
          <w:color w:val="auto"/>
          <w:highlight w:val="none"/>
          <w:lang w:val="en-GB"/>
        </w:rPr>
        <w:t>配套软件</w:t>
      </w:r>
      <w:r>
        <w:rPr>
          <w:b/>
          <w:color w:val="auto"/>
          <w:highlight w:val="none"/>
        </w:rPr>
        <w:t>水平</w:t>
      </w:r>
      <w:r>
        <w:rPr>
          <w:b/>
          <w:color w:val="auto"/>
          <w:highlight w:val="none"/>
          <w:lang w:val="en-GB"/>
        </w:rPr>
        <w:t>。</w:t>
      </w:r>
      <w:r>
        <w:rPr>
          <w:color w:val="auto"/>
          <w:highlight w:val="none"/>
          <w:lang w:val="en-GB"/>
        </w:rPr>
        <w:t>突破机器学习、自然语言处理、数据挖掘等人工智能关键共性技术在移动智能终端上的应用，支持移动智能终端制造企业与软件企业联合开展终端软件更新和适配，打造整机方案设计、个性化定制等应用服务。</w:t>
      </w:r>
    </w:p>
    <w:p>
      <w:pPr>
        <w:keepNext w:val="0"/>
        <w:keepLines w:val="0"/>
        <w:pageBreakBefore w:val="0"/>
        <w:widowControl w:val="0"/>
        <w:kinsoku/>
        <w:wordWrap/>
        <w:overflowPunct/>
        <w:topLinePunct w:val="0"/>
        <w:autoSpaceDE/>
        <w:autoSpaceDN/>
        <w:bidi w:val="0"/>
        <w:adjustRightInd/>
        <w:spacing w:beforeLines="0" w:afterLines="0" w:line="560" w:lineRule="exact"/>
        <w:ind w:firstLine="643"/>
        <w:textAlignment w:val="auto"/>
        <w:outlineLvl w:val="3"/>
        <w:rPr>
          <w:b/>
          <w:bCs/>
          <w:color w:val="auto"/>
          <w:highlight w:val="none"/>
        </w:rPr>
      </w:pPr>
      <w:r>
        <w:rPr>
          <w:b/>
          <w:bCs/>
          <w:color w:val="auto"/>
          <w:highlight w:val="none"/>
          <w:lang w:val="en-GB"/>
        </w:rPr>
        <w:t>（</w:t>
      </w:r>
      <w:r>
        <w:rPr>
          <w:b/>
          <w:bCs/>
          <w:color w:val="auto"/>
          <w:highlight w:val="none"/>
        </w:rPr>
        <w:t>2</w:t>
      </w:r>
      <w:r>
        <w:rPr>
          <w:b/>
          <w:bCs/>
          <w:color w:val="auto"/>
          <w:highlight w:val="none"/>
          <w:lang w:val="en-GB"/>
        </w:rPr>
        <w:t>）</w:t>
      </w:r>
      <w:r>
        <w:rPr>
          <w:b/>
          <w:bCs/>
          <w:color w:val="auto"/>
          <w:highlight w:val="none"/>
        </w:rPr>
        <w:t>发展路径</w:t>
      </w:r>
    </w:p>
    <w:p>
      <w:pPr>
        <w:keepNext w:val="0"/>
        <w:keepLines w:val="0"/>
        <w:pageBreakBefore w:val="0"/>
        <w:widowControl w:val="0"/>
        <w:kinsoku/>
        <w:wordWrap/>
        <w:overflowPunct/>
        <w:topLinePunct w:val="0"/>
        <w:autoSpaceDE/>
        <w:autoSpaceDN/>
        <w:bidi w:val="0"/>
        <w:adjustRightInd/>
        <w:spacing w:beforeLines="0" w:afterLines="0" w:line="560" w:lineRule="exact"/>
        <w:textAlignment w:val="auto"/>
        <w:rPr>
          <w:color w:val="auto"/>
          <w:highlight w:val="none"/>
          <w:lang w:val="en-GB"/>
        </w:rPr>
      </w:pPr>
      <w:r>
        <w:rPr>
          <w:color w:val="auto"/>
          <w:highlight w:val="none"/>
          <w:lang w:val="en-GB"/>
        </w:rPr>
        <w:t>重点依托高新区、经开区，推进国家新型工业化（移动智能终端）示范基地和经开区省级数字经济创新发展（智能终端）试验基地建设，优先落户整机项目以及关键元器件、软件等配套项目，重点加大芯片、屏幕领域的大项目招引力度，构建移动智能终端产业生态系统，打造高水平全国移动智能终端产业基地。同时，借鉴“飞地经济”发展模式，加快推动高新区进贤印刷</w:t>
      </w:r>
      <w:r>
        <w:rPr>
          <w:rFonts w:hint="eastAsia"/>
          <w:color w:val="auto"/>
          <w:highlight w:val="none"/>
          <w:lang w:val="en-GB"/>
        </w:rPr>
        <w:t>电路</w:t>
      </w:r>
      <w:r>
        <w:rPr>
          <w:color w:val="auto"/>
          <w:highlight w:val="none"/>
          <w:lang w:val="en-GB"/>
        </w:rPr>
        <w:t>板产业园建设。</w:t>
      </w:r>
    </w:p>
    <w:p>
      <w:pPr>
        <w:keepNext w:val="0"/>
        <w:keepLines w:val="0"/>
        <w:pageBreakBefore w:val="0"/>
        <w:widowControl w:val="0"/>
        <w:kinsoku/>
        <w:wordWrap/>
        <w:overflowPunct/>
        <w:topLinePunct w:val="0"/>
        <w:autoSpaceDE/>
        <w:autoSpaceDN/>
        <w:bidi w:val="0"/>
        <w:adjustRightInd/>
        <w:spacing w:beforeLines="0" w:afterLines="0" w:line="560" w:lineRule="exact"/>
        <w:ind w:firstLine="643"/>
        <w:textAlignment w:val="auto"/>
        <w:outlineLvl w:val="3"/>
        <w:rPr>
          <w:b/>
          <w:bCs/>
          <w:color w:val="auto"/>
          <w:highlight w:val="none"/>
          <w:lang w:val="en-GB"/>
        </w:rPr>
      </w:pPr>
      <w:r>
        <w:rPr>
          <w:b/>
          <w:bCs/>
          <w:color w:val="auto"/>
          <w:highlight w:val="none"/>
          <w:lang w:val="en-GB"/>
        </w:rPr>
        <w:t>（</w:t>
      </w:r>
      <w:r>
        <w:rPr>
          <w:b/>
          <w:bCs/>
          <w:color w:val="auto"/>
          <w:highlight w:val="none"/>
        </w:rPr>
        <w:t>3</w:t>
      </w:r>
      <w:r>
        <w:rPr>
          <w:b/>
          <w:bCs/>
          <w:color w:val="auto"/>
          <w:highlight w:val="none"/>
          <w:lang w:val="en-GB"/>
        </w:rPr>
        <w:t>）重点企业</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firstLine="643"/>
        <w:textAlignment w:val="auto"/>
        <w:rPr>
          <w:rFonts w:hint="eastAsia" w:ascii="Times New Roman" w:hAnsi="Times New Roman" w:cs="Times New Roman"/>
          <w:color w:val="auto"/>
          <w:highlight w:val="none"/>
          <w:lang w:val="en-GB" w:eastAsia="zh-CN"/>
        </w:rPr>
      </w:pPr>
      <w:r>
        <w:rPr>
          <w:b/>
          <w:color w:val="auto"/>
          <w:kern w:val="0"/>
          <w:highlight w:val="none"/>
        </w:rPr>
        <w:t>重点引进企业</w:t>
      </w:r>
      <w:r>
        <w:rPr>
          <w:color w:val="auto"/>
          <w:highlight w:val="none"/>
          <w:lang w:val="en-GB"/>
        </w:rPr>
        <w:t>。重点引进</w:t>
      </w:r>
      <w:r>
        <w:rPr>
          <w:rFonts w:hint="eastAsia"/>
          <w:color w:val="auto"/>
          <w:highlight w:val="none"/>
          <w:lang w:val="en-GB" w:eastAsia="zh-CN"/>
        </w:rPr>
        <w:t>华为、小米、</w:t>
      </w:r>
      <w:r>
        <w:rPr>
          <w:rFonts w:hint="eastAsia"/>
          <w:color w:val="auto"/>
          <w:highlight w:val="none"/>
          <w:lang w:val="en-US" w:eastAsia="zh-CN"/>
        </w:rPr>
        <w:t>OPPO、VIVO、传音、闻泰、中诺、</w:t>
      </w:r>
      <w:r>
        <w:rPr>
          <w:color w:val="auto"/>
          <w:highlight w:val="none"/>
          <w:lang w:val="en-GB"/>
        </w:rPr>
        <w:t>联想、</w:t>
      </w:r>
      <w:r>
        <w:rPr>
          <w:rFonts w:hint="eastAsia"/>
          <w:color w:val="auto"/>
          <w:highlight w:val="none"/>
          <w:lang w:val="en-GB" w:eastAsia="zh-CN"/>
        </w:rPr>
        <w:t>京东方、天马微电子、</w:t>
      </w:r>
      <w:r>
        <w:rPr>
          <w:rFonts w:hint="eastAsia"/>
          <w:color w:val="auto"/>
          <w:highlight w:val="none"/>
          <w:lang w:val="en-US" w:eastAsia="zh-CN"/>
        </w:rPr>
        <w:t>TCL华星、</w:t>
      </w:r>
      <w:r>
        <w:rPr>
          <w:color w:val="auto"/>
          <w:highlight w:val="none"/>
          <w:lang w:val="en-GB"/>
        </w:rPr>
        <w:t>百度、</w:t>
      </w:r>
      <w:r>
        <w:rPr>
          <w:rFonts w:hint="eastAsia" w:ascii="Times New Roman" w:hAnsi="Times New Roman" w:cs="Times New Roman"/>
          <w:color w:val="auto"/>
          <w:highlight w:val="none"/>
          <w:lang w:val="en-GB" w:eastAsia="zh-CN"/>
        </w:rPr>
        <w:t>特斯联、旷世、科大讯飞、博世安防、大华、宇视、韩华、</w:t>
      </w:r>
      <w:r>
        <w:rPr>
          <w:rFonts w:hint="eastAsia" w:ascii="Times New Roman" w:hAnsi="Times New Roman" w:cs="Times New Roman"/>
          <w:color w:val="auto"/>
          <w:highlight w:val="none"/>
          <w:lang w:val="en-US" w:eastAsia="zh-CN"/>
        </w:rPr>
        <w:t>捷荣股份、领益智造、信利光电、瑞声科技、中兴通讯、光峰科技</w:t>
      </w:r>
      <w:r>
        <w:rPr>
          <w:rFonts w:hint="eastAsia" w:ascii="Times New Roman" w:hAnsi="Times New Roman" w:cs="Times New Roman"/>
          <w:color w:val="auto"/>
          <w:highlight w:val="none"/>
          <w:lang w:val="en-GB" w:eastAsia="zh-CN"/>
        </w:rPr>
        <w:t>等企业。</w:t>
      </w:r>
    </w:p>
    <w:p>
      <w:pPr>
        <w:keepNext w:val="0"/>
        <w:keepLines w:val="0"/>
        <w:pageBreakBefore w:val="0"/>
        <w:widowControl w:val="0"/>
        <w:kinsoku/>
        <w:wordWrap/>
        <w:overflowPunct/>
        <w:topLinePunct w:val="0"/>
        <w:autoSpaceDE/>
        <w:autoSpaceDN/>
        <w:bidi w:val="0"/>
        <w:adjustRightInd/>
        <w:spacing w:beforeLines="0" w:afterLines="0" w:line="560" w:lineRule="exact"/>
        <w:ind w:firstLine="643"/>
        <w:textAlignment w:val="auto"/>
        <w:outlineLvl w:val="2"/>
        <w:rPr>
          <w:b/>
          <w:color w:val="auto"/>
          <w:highlight w:val="none"/>
        </w:rPr>
      </w:pPr>
      <w:bookmarkStart w:id="88" w:name="_Toc88257138"/>
      <w:bookmarkStart w:id="89" w:name="_Toc1155427084"/>
      <w:r>
        <w:rPr>
          <w:b/>
          <w:color w:val="auto"/>
          <w:highlight w:val="none"/>
        </w:rPr>
        <w:t>2、LED</w:t>
      </w:r>
      <w:bookmarkEnd w:id="88"/>
      <w:bookmarkEnd w:id="89"/>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textAlignment w:val="auto"/>
        <w:outlineLvl w:val="3"/>
        <w:rPr>
          <w:b/>
          <w:bCs/>
          <w:color w:val="auto"/>
          <w:highlight w:val="none"/>
          <w:lang w:val="en-GB"/>
        </w:rPr>
      </w:pPr>
      <w:r>
        <w:rPr>
          <w:b/>
          <w:bCs/>
          <w:color w:val="auto"/>
          <w:highlight w:val="none"/>
          <w:lang w:val="en-GB"/>
        </w:rPr>
        <w:t>（</w:t>
      </w:r>
      <w:r>
        <w:rPr>
          <w:b/>
          <w:bCs/>
          <w:color w:val="auto"/>
          <w:highlight w:val="none"/>
        </w:rPr>
        <w:t>1</w:t>
      </w:r>
      <w:r>
        <w:rPr>
          <w:b/>
          <w:bCs/>
          <w:color w:val="auto"/>
          <w:highlight w:val="none"/>
          <w:lang w:val="en-GB"/>
        </w:rPr>
        <w:t>）重点方向</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3"/>
        <w:textAlignment w:val="auto"/>
        <w:rPr>
          <w:color w:val="auto"/>
          <w:highlight w:val="none"/>
          <w:lang w:val="en-GB"/>
        </w:rPr>
      </w:pPr>
      <w:r>
        <w:rPr>
          <w:b/>
          <w:bCs/>
          <w:color w:val="auto"/>
          <w:highlight w:val="none"/>
          <w:lang w:val="en-GB"/>
        </w:rPr>
        <w:t>扩大LED上游芯片生产规模</w:t>
      </w:r>
      <w:r>
        <w:rPr>
          <w:color w:val="auto"/>
          <w:highlight w:val="none"/>
          <w:lang w:val="en-GB"/>
        </w:rPr>
        <w:t>。优先支持硅衬底LED技术，强化硅基LED技术应用领域的研究开发，加快硅基LED产业化进程，将硅衬底LED芯片辐射到全国LED产业主要集聚区。力争未来三年，硅衬底LED技术路线全产业链总体规模达到100亿元以上，成为专业照明市场主流技术路线之一。</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3"/>
        <w:textAlignment w:val="auto"/>
        <w:rPr>
          <w:color w:val="auto"/>
          <w:highlight w:val="none"/>
          <w:lang w:val="en-GB"/>
        </w:rPr>
      </w:pPr>
      <w:r>
        <w:rPr>
          <w:b/>
          <w:bCs/>
          <w:color w:val="auto"/>
          <w:highlight w:val="none"/>
          <w:lang w:val="en-GB"/>
        </w:rPr>
        <w:t>拓展LED中游封装市场</w:t>
      </w:r>
      <w:r>
        <w:rPr>
          <w:color w:val="auto"/>
          <w:highlight w:val="none"/>
          <w:lang w:val="en-GB"/>
        </w:rPr>
        <w:t>。突出硅衬底LED芯片大功率方向光的技术优势，重点发展硅衬底大功率LED封装，优先支持功率型白光LED封装、新型显示LED封装、紫外LED封装、红外LED封装项目。拓展硅衬底LED封装在户外照明、背光源、紫外照明，以及汽车、手机闪光灯、安防、家电等领域的新应用。</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3"/>
        <w:textAlignment w:val="auto"/>
        <w:rPr>
          <w:color w:val="auto"/>
          <w:highlight w:val="none"/>
          <w:lang w:val="en-GB"/>
        </w:rPr>
      </w:pPr>
      <w:r>
        <w:rPr>
          <w:b/>
          <w:bCs/>
          <w:color w:val="auto"/>
          <w:highlight w:val="none"/>
          <w:lang w:val="en-GB"/>
        </w:rPr>
        <w:t>推广LED下游应用</w:t>
      </w:r>
      <w:r>
        <w:rPr>
          <w:color w:val="auto"/>
          <w:highlight w:val="none"/>
          <w:lang w:val="en-GB"/>
        </w:rPr>
        <w:t>。重点发展中、高端LED应用产品，大力发展室内功能性照明、户外功能性照明、景观照明、LED显示屏、交通指示灯、电视背光、手机和键盘背光源、</w:t>
      </w:r>
      <w:r>
        <w:rPr>
          <w:rFonts w:hint="eastAsia"/>
          <w:color w:val="auto"/>
          <w:highlight w:val="none"/>
          <w:lang w:val="en-GB"/>
        </w:rPr>
        <w:t>Mini</w:t>
      </w:r>
      <w:r>
        <w:rPr>
          <w:color w:val="auto"/>
          <w:highlight w:val="none"/>
          <w:lang w:val="en-GB"/>
        </w:rPr>
        <w:t xml:space="preserve">/Micro </w:t>
      </w:r>
      <w:r>
        <w:rPr>
          <w:rFonts w:hint="eastAsia"/>
          <w:color w:val="auto"/>
          <w:highlight w:val="none"/>
          <w:lang w:val="en-GB"/>
        </w:rPr>
        <w:t>LED背光、</w:t>
      </w:r>
      <w:r>
        <w:rPr>
          <w:color w:val="auto"/>
          <w:highlight w:val="none"/>
          <w:lang w:val="en-GB"/>
        </w:rPr>
        <w:t>装饰灯等LED传统应用产品；积极拓展智能照明、紫外固化杀菌消毒、红外应用、光通信、汽车照明灯等LED新兴应用产业。重点支持LED照明、大尺寸LED背光源、全彩显示屏等产业的发展，优先发展LED大功率照明应用产品。以太阳能LED路灯项目为切入点，推进LED产业与光伏产业的互动与联合。</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3"/>
        <w:textAlignment w:val="auto"/>
        <w:rPr>
          <w:color w:val="auto"/>
          <w:highlight w:val="none"/>
          <w:lang w:val="en-GB"/>
        </w:rPr>
      </w:pPr>
      <w:r>
        <w:rPr>
          <w:b/>
          <w:bCs/>
          <w:color w:val="auto"/>
          <w:highlight w:val="none"/>
          <w:lang w:val="en-GB"/>
        </w:rPr>
        <w:t>突破LED关键设备及配套材料</w:t>
      </w:r>
      <w:r>
        <w:rPr>
          <w:color w:val="auto"/>
          <w:highlight w:val="none"/>
          <w:lang w:val="en-GB"/>
        </w:rPr>
        <w:t>。重点突破硅基LED材料</w:t>
      </w:r>
      <w:r>
        <w:rPr>
          <w:rFonts w:hint="eastAsia"/>
          <w:color w:val="auto"/>
          <w:highlight w:val="none"/>
          <w:lang w:val="en-GB"/>
        </w:rPr>
        <w:t>制备专用</w:t>
      </w:r>
      <w:r>
        <w:rPr>
          <w:color w:val="auto"/>
          <w:highlight w:val="none"/>
          <w:lang w:val="en-GB"/>
        </w:rPr>
        <w:t>高端设备（MOCVD），发展自动封装设备、光电测试和筛选仪器等设备。发展智能化、全自动化LED应用生产线。重点发展为LED配套的MO源以及荧光粉、胶水、支架、专用二次光学器件、专用驱动电源等基础材料项目，构筑与LED全产业链相适应的配套系统。</w:t>
      </w:r>
    </w:p>
    <w:p>
      <w:pPr>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rPr>
      </w:pPr>
      <w:r>
        <w:rPr>
          <w:b/>
          <w:bCs/>
          <w:color w:val="auto"/>
          <w:highlight w:val="none"/>
          <w:lang w:val="en-GB"/>
        </w:rPr>
        <w:t>（</w:t>
      </w:r>
      <w:r>
        <w:rPr>
          <w:b/>
          <w:bCs/>
          <w:color w:val="auto"/>
          <w:highlight w:val="none"/>
        </w:rPr>
        <w:t>2</w:t>
      </w:r>
      <w:r>
        <w:rPr>
          <w:b/>
          <w:bCs/>
          <w:color w:val="auto"/>
          <w:highlight w:val="none"/>
          <w:lang w:val="en-GB"/>
        </w:rPr>
        <w:t>）</w:t>
      </w:r>
      <w:r>
        <w:rPr>
          <w:b/>
          <w:bCs/>
          <w:color w:val="auto"/>
          <w:highlight w:val="none"/>
        </w:rPr>
        <w:t>发展路径</w:t>
      </w:r>
    </w:p>
    <w:p>
      <w:pPr>
        <w:pageBreakBefore w:val="0"/>
        <w:widowControl w:val="0"/>
        <w:kinsoku/>
        <w:wordWrap/>
        <w:overflowPunct/>
        <w:topLinePunct w:val="0"/>
        <w:bidi w:val="0"/>
        <w:spacing w:beforeLines="0" w:afterLines="0" w:line="580" w:lineRule="exact"/>
        <w:textAlignment w:val="auto"/>
        <w:rPr>
          <w:color w:val="auto"/>
          <w:highlight w:val="none"/>
        </w:rPr>
      </w:pPr>
      <w:r>
        <w:rPr>
          <w:color w:val="auto"/>
          <w:highlight w:val="none"/>
          <w:lang w:val="en-GB"/>
        </w:rPr>
        <w:t>依托“南昌光谷”发展基础，</w:t>
      </w:r>
      <w:r>
        <w:rPr>
          <w:rFonts w:hint="eastAsia"/>
          <w:color w:val="auto"/>
          <w:highlight w:val="none"/>
          <w:lang w:val="en-GB"/>
        </w:rPr>
        <w:t>突出</w:t>
      </w:r>
      <w:r>
        <w:rPr>
          <w:color w:val="auto"/>
          <w:highlight w:val="none"/>
          <w:lang w:val="en-GB"/>
        </w:rPr>
        <w:t>硅衬底LED技术，</w:t>
      </w:r>
      <w:r>
        <w:rPr>
          <w:rFonts w:hint="eastAsia"/>
          <w:color w:val="auto"/>
          <w:highlight w:val="none"/>
          <w:lang w:val="en-GB"/>
        </w:rPr>
        <w:t>促进</w:t>
      </w:r>
      <w:r>
        <w:rPr>
          <w:color w:val="auto"/>
          <w:highlight w:val="none"/>
          <w:lang w:val="en-GB"/>
        </w:rPr>
        <w:t>上中游产业链协同，</w:t>
      </w:r>
      <w:r>
        <w:rPr>
          <w:rFonts w:hint="eastAsia"/>
          <w:color w:val="auto"/>
          <w:highlight w:val="none"/>
          <w:lang w:val="en-GB"/>
        </w:rPr>
        <w:t>推动</w:t>
      </w:r>
      <w:r>
        <w:rPr>
          <w:color w:val="auto"/>
          <w:highlight w:val="none"/>
          <w:lang w:val="en-GB"/>
        </w:rPr>
        <w:t>关键核心技术产业化，配套发展中下游产品</w:t>
      </w:r>
      <w:r>
        <w:rPr>
          <w:rFonts w:hint="eastAsia"/>
          <w:color w:val="auto"/>
          <w:highlight w:val="none"/>
          <w:lang w:val="en-GB"/>
        </w:rPr>
        <w:t>，在全球分工中凸显南昌优势</w:t>
      </w:r>
      <w:r>
        <w:rPr>
          <w:color w:val="auto"/>
          <w:highlight w:val="none"/>
          <w:lang w:val="en-GB"/>
        </w:rPr>
        <w:t>。通过</w:t>
      </w:r>
      <w:r>
        <w:rPr>
          <w:color w:val="auto"/>
          <w:highlight w:val="none"/>
        </w:rPr>
        <w:t>应用企业的引进和培育，扩大</w:t>
      </w:r>
      <w:r>
        <w:rPr>
          <w:rFonts w:hint="eastAsia"/>
          <w:color w:val="auto"/>
          <w:highlight w:val="none"/>
        </w:rPr>
        <w:t>LED</w:t>
      </w:r>
      <w:r>
        <w:rPr>
          <w:color w:val="auto"/>
          <w:highlight w:val="none"/>
        </w:rPr>
        <w:t>应用产品的生产制造能力，提升产业规模。</w:t>
      </w:r>
      <w:r>
        <w:rPr>
          <w:color w:val="auto"/>
          <w:highlight w:val="none"/>
          <w:lang w:val="en-GB"/>
        </w:rPr>
        <w:t>瞄准景观照明、商用显示、智能终端背光源等市场需求，推动黄光、绿光、红光LED等最新技术成果转化应用，引领高端市场。</w:t>
      </w:r>
    </w:p>
    <w:p>
      <w:pPr>
        <w:pageBreakBefore w:val="0"/>
        <w:widowControl w:val="0"/>
        <w:kinsoku/>
        <w:wordWrap/>
        <w:overflowPunct/>
        <w:topLinePunct w:val="0"/>
        <w:bidi w:val="0"/>
        <w:spacing w:beforeLines="0" w:after="0" w:afterLines="0" w:line="580" w:lineRule="exact"/>
        <w:ind w:firstLine="643"/>
        <w:textAlignment w:val="auto"/>
        <w:outlineLvl w:val="3"/>
        <w:rPr>
          <w:b/>
          <w:bCs/>
          <w:color w:val="auto"/>
          <w:highlight w:val="none"/>
          <w:lang w:val="en-GB"/>
        </w:rPr>
      </w:pPr>
      <w:r>
        <w:rPr>
          <w:b/>
          <w:bCs/>
          <w:color w:val="auto"/>
          <w:highlight w:val="none"/>
          <w:lang w:val="en-GB"/>
        </w:rPr>
        <w:t>（3）重点企业</w:t>
      </w:r>
    </w:p>
    <w:p>
      <w:pPr>
        <w:pageBreakBefore w:val="0"/>
        <w:widowControl w:val="0"/>
        <w:kinsoku/>
        <w:wordWrap/>
        <w:overflowPunct/>
        <w:topLinePunct w:val="0"/>
        <w:bidi w:val="0"/>
        <w:adjustRightInd w:val="0"/>
        <w:snapToGrid w:val="0"/>
        <w:spacing w:beforeLines="0" w:afterLines="0" w:line="580" w:lineRule="exact"/>
        <w:ind w:firstLine="643"/>
        <w:textAlignment w:val="auto"/>
        <w:rPr>
          <w:color w:val="auto"/>
          <w:highlight w:val="none"/>
          <w:lang w:val="en-GB"/>
        </w:rPr>
      </w:pPr>
      <w:r>
        <w:rPr>
          <w:b/>
          <w:bCs/>
          <w:color w:val="auto"/>
          <w:highlight w:val="none"/>
          <w:lang w:val="en-GB"/>
        </w:rPr>
        <w:t>重点引进企业</w:t>
      </w:r>
      <w:r>
        <w:rPr>
          <w:color w:val="auto"/>
          <w:highlight w:val="none"/>
          <w:lang w:val="en-GB"/>
        </w:rPr>
        <w:t>。</w:t>
      </w:r>
      <w:r>
        <w:rPr>
          <w:b/>
          <w:bCs/>
          <w:color w:val="auto"/>
          <w:highlight w:val="none"/>
          <w:lang w:val="en-GB"/>
        </w:rPr>
        <w:t>LED芯片领域</w:t>
      </w:r>
      <w:r>
        <w:rPr>
          <w:color w:val="auto"/>
          <w:highlight w:val="none"/>
          <w:lang w:val="en-GB"/>
        </w:rPr>
        <w:t>，重点引入三安光电</w:t>
      </w:r>
      <w:r>
        <w:rPr>
          <w:rFonts w:hint="eastAsia"/>
          <w:color w:val="auto"/>
          <w:highlight w:val="none"/>
          <w:lang w:val="en-GB" w:eastAsia="zh-CN"/>
        </w:rPr>
        <w:t>、</w:t>
      </w:r>
      <w:r>
        <w:rPr>
          <w:color w:val="auto"/>
          <w:highlight w:val="none"/>
          <w:lang w:val="en-GB"/>
        </w:rPr>
        <w:t>华灿。</w:t>
      </w:r>
      <w:r>
        <w:rPr>
          <w:b/>
          <w:color w:val="auto"/>
          <w:highlight w:val="none"/>
          <w:lang w:val="en-GB"/>
        </w:rPr>
        <w:t>封装测试领域</w:t>
      </w:r>
      <w:r>
        <w:rPr>
          <w:color w:val="auto"/>
          <w:highlight w:val="none"/>
          <w:lang w:val="en-GB"/>
        </w:rPr>
        <w:t>，重点引入源磊科技、瑞丰光电、杭科光电等。</w:t>
      </w:r>
      <w:r>
        <w:rPr>
          <w:b/>
          <w:color w:val="auto"/>
          <w:highlight w:val="none"/>
          <w:lang w:val="en-GB"/>
        </w:rPr>
        <w:t>LED应用领域</w:t>
      </w:r>
      <w:r>
        <w:rPr>
          <w:color w:val="auto"/>
          <w:highlight w:val="none"/>
          <w:lang w:val="en-GB"/>
        </w:rPr>
        <w:t>，重点引入利亚德、奥拓电子、名家汇、飞乐音响、无锡照明、飞利浦照明、三雄极光、欧普照明、立达信、欧司朗、宜事达、鸿利智汇等。</w:t>
      </w:r>
    </w:p>
    <w:p>
      <w:pPr>
        <w:pageBreakBefore w:val="0"/>
        <w:widowControl w:val="0"/>
        <w:kinsoku/>
        <w:wordWrap/>
        <w:overflowPunct/>
        <w:topLinePunct w:val="0"/>
        <w:bidi w:val="0"/>
        <w:snapToGrid w:val="0"/>
        <w:spacing w:beforeLines="0" w:afterLines="0" w:line="580" w:lineRule="exact"/>
        <w:ind w:firstLine="643"/>
        <w:textAlignment w:val="auto"/>
        <w:outlineLvl w:val="2"/>
        <w:rPr>
          <w:b/>
          <w:color w:val="auto"/>
          <w:highlight w:val="none"/>
        </w:rPr>
      </w:pPr>
      <w:bookmarkStart w:id="90" w:name="_Toc88257139"/>
      <w:bookmarkStart w:id="91" w:name="_Toc532531264"/>
      <w:r>
        <w:rPr>
          <w:b/>
          <w:color w:val="auto"/>
          <w:highlight w:val="none"/>
        </w:rPr>
        <w:t>3、VR</w:t>
      </w:r>
      <w:bookmarkEnd w:id="90"/>
      <w:bookmarkEnd w:id="91"/>
    </w:p>
    <w:p>
      <w:pPr>
        <w:pageBreakBefore w:val="0"/>
        <w:widowControl w:val="0"/>
        <w:kinsoku/>
        <w:wordWrap/>
        <w:overflowPunct/>
        <w:topLinePunct w:val="0"/>
        <w:bidi w:val="0"/>
        <w:snapToGrid w:val="0"/>
        <w:spacing w:beforeLines="0" w:afterLines="0" w:line="580" w:lineRule="exact"/>
        <w:ind w:firstLine="643"/>
        <w:textAlignment w:val="auto"/>
        <w:outlineLvl w:val="3"/>
        <w:rPr>
          <w:b/>
          <w:bCs/>
          <w:color w:val="auto"/>
          <w:highlight w:val="none"/>
          <w:lang w:val="en-GB"/>
        </w:rPr>
      </w:pPr>
      <w:r>
        <w:rPr>
          <w:b/>
          <w:bCs/>
          <w:color w:val="auto"/>
          <w:highlight w:val="none"/>
          <w:lang w:val="en-GB"/>
        </w:rPr>
        <w:t>（</w:t>
      </w:r>
      <w:r>
        <w:rPr>
          <w:b/>
          <w:bCs/>
          <w:color w:val="auto"/>
          <w:highlight w:val="none"/>
        </w:rPr>
        <w:t>1</w:t>
      </w:r>
      <w:r>
        <w:rPr>
          <w:b/>
          <w:bCs/>
          <w:color w:val="auto"/>
          <w:highlight w:val="none"/>
          <w:lang w:val="en-GB"/>
        </w:rPr>
        <w:t>）重点方向</w:t>
      </w:r>
    </w:p>
    <w:p>
      <w:pPr>
        <w:pageBreakBefore w:val="0"/>
        <w:widowControl w:val="0"/>
        <w:kinsoku/>
        <w:wordWrap/>
        <w:overflowPunct/>
        <w:topLinePunct w:val="0"/>
        <w:bidi w:val="0"/>
        <w:adjustRightInd w:val="0"/>
        <w:snapToGrid w:val="0"/>
        <w:spacing w:beforeLines="0" w:afterLines="0" w:line="580" w:lineRule="exact"/>
        <w:ind w:firstLine="643"/>
        <w:textAlignment w:val="auto"/>
        <w:rPr>
          <w:color w:val="auto"/>
          <w:highlight w:val="none"/>
          <w:lang w:val="en-GB"/>
        </w:rPr>
      </w:pPr>
      <w:r>
        <w:rPr>
          <w:b/>
          <w:bCs/>
          <w:color w:val="auto"/>
          <w:highlight w:val="none"/>
          <w:lang w:val="en-GB"/>
        </w:rPr>
        <w:t>做大虚拟现实终端设备生产规模</w:t>
      </w:r>
      <w:r>
        <w:rPr>
          <w:color w:val="auto"/>
          <w:highlight w:val="none"/>
          <w:lang w:val="en-GB"/>
        </w:rPr>
        <w:t>。大力发展面向普及型消费领域的PC端、移动端、电视端、一体机、CAVE沉浸式系统等多形态虚拟现实终端及显示系统。发展4K UHD以上分辨率、90Hz以上刷新率、360全景、广视角的低功耗VR头戴式终端，发展压缩传输、无线传输技术，满足5G高带宽、低时延的移动应用场景要求。重点发展面向工业制造、教育、医疗健康、文化艺术、商贸等重点行业及特定应用场景的终端设备产品。</w:t>
      </w:r>
    </w:p>
    <w:p>
      <w:pPr>
        <w:pageBreakBefore w:val="0"/>
        <w:widowControl w:val="0"/>
        <w:kinsoku/>
        <w:wordWrap/>
        <w:overflowPunct/>
        <w:topLinePunct w:val="0"/>
        <w:bidi w:val="0"/>
        <w:adjustRightInd w:val="0"/>
        <w:snapToGrid w:val="0"/>
        <w:spacing w:beforeLines="0" w:afterLines="0" w:line="580" w:lineRule="exact"/>
        <w:ind w:firstLine="643"/>
        <w:textAlignment w:val="auto"/>
        <w:rPr>
          <w:color w:val="auto"/>
          <w:highlight w:val="none"/>
          <w:lang w:val="en-GB"/>
        </w:rPr>
      </w:pPr>
      <w:r>
        <w:rPr>
          <w:b/>
          <w:bCs/>
          <w:color w:val="auto"/>
          <w:highlight w:val="none"/>
          <w:lang w:val="en-GB"/>
        </w:rPr>
        <w:t>加快发展虚拟现实配套产品</w:t>
      </w:r>
      <w:r>
        <w:rPr>
          <w:color w:val="auto"/>
          <w:highlight w:val="none"/>
          <w:lang w:val="en-GB"/>
        </w:rPr>
        <w:t>。加快发展虚拟现实核心组件和配套设备。核心组件方面，重点发展光学镜头、衍射光学元件、影像模组、三维建模模组、三维相机等。配套设备方面，重点发展数据手套、数据衣服、操纵杆、触/力觉反馈装置、三维位置传感器和三维声音产生器等交互设备，以及内容采集、编辑、处理等虚拟现实相关设备。</w:t>
      </w:r>
    </w:p>
    <w:p>
      <w:pPr>
        <w:pageBreakBefore w:val="0"/>
        <w:widowControl w:val="0"/>
        <w:kinsoku/>
        <w:wordWrap/>
        <w:overflowPunct/>
        <w:topLinePunct w:val="0"/>
        <w:bidi w:val="0"/>
        <w:adjustRightInd w:val="0"/>
        <w:snapToGrid w:val="0"/>
        <w:spacing w:beforeLines="0" w:afterLines="0" w:line="580" w:lineRule="exact"/>
        <w:ind w:firstLine="643"/>
        <w:textAlignment w:val="auto"/>
        <w:rPr>
          <w:color w:val="auto"/>
          <w:highlight w:val="none"/>
          <w:lang w:val="en-GB"/>
        </w:rPr>
      </w:pPr>
      <w:r>
        <w:rPr>
          <w:b/>
          <w:bCs/>
          <w:color w:val="auto"/>
          <w:highlight w:val="none"/>
          <w:lang w:val="en-GB"/>
        </w:rPr>
        <w:t>加快研发虚拟现实软件</w:t>
      </w:r>
      <w:r>
        <w:rPr>
          <w:color w:val="auto"/>
          <w:highlight w:val="none"/>
          <w:lang w:val="en-GB"/>
        </w:rPr>
        <w:t>。重点发展虚拟现实专用软件，包括虚拟现实操作系统、软件工具包（SDK）、中间件、三维引擎、影像合成和绘图工具软件、行业解决方案、内容制作以及开发平台等。发展数据转换、数据管理、场景合成等技术，开发具有自主知识产权的虚拟现实系统开发平台和开发引擎，提升虚拟现实产品软硬件集成能力。</w:t>
      </w:r>
    </w:p>
    <w:p>
      <w:pPr>
        <w:pageBreakBefore w:val="0"/>
        <w:widowControl w:val="0"/>
        <w:kinsoku/>
        <w:wordWrap/>
        <w:overflowPunct/>
        <w:topLinePunct w:val="0"/>
        <w:bidi w:val="0"/>
        <w:adjustRightInd w:val="0"/>
        <w:snapToGrid w:val="0"/>
        <w:spacing w:beforeLines="0" w:afterLines="0" w:line="580" w:lineRule="exact"/>
        <w:ind w:firstLine="643"/>
        <w:textAlignment w:val="auto"/>
        <w:rPr>
          <w:color w:val="auto"/>
          <w:highlight w:val="none"/>
          <w:lang w:val="en-GB"/>
        </w:rPr>
      </w:pPr>
      <w:r>
        <w:rPr>
          <w:b/>
          <w:bCs/>
          <w:color w:val="auto"/>
          <w:highlight w:val="none"/>
          <w:lang w:val="en-GB"/>
        </w:rPr>
        <w:t>推动开展虚拟现实服务测试</w:t>
      </w:r>
      <w:r>
        <w:rPr>
          <w:color w:val="auto"/>
          <w:highlight w:val="none"/>
          <w:lang w:val="en-GB"/>
        </w:rPr>
        <w:t>。发展虚拟现实网络分发服务和应用服务聚合，推动建立高效、安全的虚拟现实内容与应用分发渠道。构筑大数据和虚拟现实相结合的智能服务云平台，提升产业自主创新能力和融合创新能力。发展虚拟现实产品、内容质量测试服务，建设标准化、专业化的产品测试平台，开展虚拟现实软硬件内容产品测试、验证和认证工作。</w:t>
      </w:r>
    </w:p>
    <w:p>
      <w:pPr>
        <w:pageBreakBefore w:val="0"/>
        <w:widowControl w:val="0"/>
        <w:kinsoku/>
        <w:wordWrap/>
        <w:overflowPunct/>
        <w:topLinePunct w:val="0"/>
        <w:bidi w:val="0"/>
        <w:adjustRightInd w:val="0"/>
        <w:snapToGrid w:val="0"/>
        <w:spacing w:beforeLines="0" w:afterLines="0" w:line="580" w:lineRule="exact"/>
        <w:ind w:firstLine="643"/>
        <w:textAlignment w:val="auto"/>
        <w:rPr>
          <w:color w:val="auto"/>
          <w:highlight w:val="none"/>
          <w:lang w:val="en-GB"/>
        </w:rPr>
      </w:pPr>
      <w:r>
        <w:rPr>
          <w:b/>
          <w:bCs/>
          <w:color w:val="auto"/>
          <w:highlight w:val="none"/>
          <w:lang w:val="en-GB"/>
        </w:rPr>
        <w:t>推广虚拟现实行业应用</w:t>
      </w:r>
      <w:r>
        <w:rPr>
          <w:color w:val="auto"/>
          <w:highlight w:val="none"/>
          <w:lang w:val="en-GB"/>
        </w:rPr>
        <w:t>。重点开展虚拟现实技术在制造、教育、岗位实训、旅游、文娱、医疗等重点行业特色场景的应用示范。发展面向移动端、客户端、网页版的虚拟现实游戏、动漫内容、网络原创视听节目的创作生产。积极发展虚拟现实融合业态，推动虚拟现实在各行业领域的融合应用。</w:t>
      </w:r>
    </w:p>
    <w:p>
      <w:pPr>
        <w:pageBreakBefore w:val="0"/>
        <w:widowControl w:val="0"/>
        <w:kinsoku/>
        <w:wordWrap/>
        <w:overflowPunct/>
        <w:topLinePunct w:val="0"/>
        <w:bidi w:val="0"/>
        <w:adjustRightInd w:val="0"/>
        <w:snapToGrid w:val="0"/>
        <w:spacing w:beforeLines="0" w:afterLines="0" w:line="580" w:lineRule="exact"/>
        <w:ind w:firstLine="643"/>
        <w:textAlignment w:val="auto"/>
        <w:outlineLvl w:val="3"/>
        <w:rPr>
          <w:b/>
          <w:bCs/>
          <w:color w:val="auto"/>
          <w:highlight w:val="none"/>
        </w:rPr>
      </w:pPr>
      <w:r>
        <w:rPr>
          <w:b/>
          <w:bCs/>
          <w:color w:val="auto"/>
          <w:highlight w:val="none"/>
          <w:lang w:val="en-GB"/>
        </w:rPr>
        <w:t>（</w:t>
      </w:r>
      <w:r>
        <w:rPr>
          <w:b/>
          <w:bCs/>
          <w:color w:val="auto"/>
          <w:highlight w:val="none"/>
        </w:rPr>
        <w:t>2</w:t>
      </w:r>
      <w:r>
        <w:rPr>
          <w:b/>
          <w:bCs/>
          <w:color w:val="auto"/>
          <w:highlight w:val="none"/>
          <w:lang w:val="en-GB"/>
        </w:rPr>
        <w:t>）</w:t>
      </w:r>
      <w:r>
        <w:rPr>
          <w:b/>
          <w:bCs/>
          <w:color w:val="auto"/>
          <w:highlight w:val="none"/>
        </w:rPr>
        <w:t>发展路径</w:t>
      </w:r>
    </w:p>
    <w:p>
      <w:pPr>
        <w:pStyle w:val="38"/>
        <w:pageBreakBefore w:val="0"/>
        <w:widowControl w:val="0"/>
        <w:kinsoku/>
        <w:wordWrap/>
        <w:overflowPunct/>
        <w:topLinePunct w:val="0"/>
        <w:bidi w:val="0"/>
        <w:adjustRightInd w:val="0"/>
        <w:snapToGrid w:val="0"/>
        <w:spacing w:beforeLines="0" w:after="0" w:afterLines="0" w:line="580" w:lineRule="exact"/>
        <w:textAlignment w:val="auto"/>
        <w:rPr>
          <w:color w:val="auto"/>
          <w:highlight w:val="none"/>
          <w:lang w:val="en-GB"/>
        </w:rPr>
      </w:pPr>
      <w:r>
        <w:rPr>
          <w:rFonts w:eastAsia="仿宋_GB2312"/>
          <w:color w:val="auto"/>
          <w:kern w:val="2"/>
          <w:sz w:val="32"/>
          <w:szCs w:val="32"/>
          <w:highlight w:val="none"/>
          <w:lang w:val="en-GB"/>
        </w:rPr>
        <w:t>积极把握虚拟现实技术市场化进程，借助省市VR产业链链长制平台发力，把产业供应链、服务链、人才链、创新链、资金链等串联起来全力打造“产、学、研、用、融”产业生态体系，探索</w:t>
      </w:r>
      <w:r>
        <w:rPr>
          <w:rFonts w:hint="eastAsia" w:eastAsia="仿宋_GB2312"/>
          <w:color w:val="auto"/>
          <w:kern w:val="2"/>
          <w:sz w:val="32"/>
          <w:szCs w:val="32"/>
          <w:highlight w:val="none"/>
          <w:lang w:val="en-GB"/>
        </w:rPr>
        <w:t>建立VR公共专利池，</w:t>
      </w:r>
      <w:r>
        <w:rPr>
          <w:rFonts w:eastAsia="仿宋_GB2312"/>
          <w:color w:val="auto"/>
          <w:kern w:val="2"/>
          <w:sz w:val="32"/>
          <w:szCs w:val="32"/>
          <w:highlight w:val="none"/>
          <w:lang w:val="en-GB"/>
        </w:rPr>
        <w:t>构建以红谷滩VR科创城为核心区，以高新区“5G+VR”产业示范园和小蓝泰豪VR产业基地为两翼，以其他县区、开发区为辅助的“一城两园多点”的产业新格局。</w:t>
      </w:r>
    </w:p>
    <w:p>
      <w:pPr>
        <w:pageBreakBefore w:val="0"/>
        <w:widowControl w:val="0"/>
        <w:kinsoku/>
        <w:wordWrap/>
        <w:overflowPunct/>
        <w:topLinePunct w:val="0"/>
        <w:bidi w:val="0"/>
        <w:adjustRightInd w:val="0"/>
        <w:snapToGrid w:val="0"/>
        <w:spacing w:beforeLines="0" w:afterLines="0" w:line="580" w:lineRule="exact"/>
        <w:ind w:firstLine="643"/>
        <w:textAlignment w:val="auto"/>
        <w:outlineLvl w:val="3"/>
        <w:rPr>
          <w:b/>
          <w:bCs/>
          <w:color w:val="auto"/>
          <w:highlight w:val="none"/>
          <w:lang w:val="en-GB"/>
        </w:rPr>
      </w:pPr>
      <w:r>
        <w:rPr>
          <w:b/>
          <w:bCs/>
          <w:color w:val="auto"/>
          <w:highlight w:val="none"/>
          <w:lang w:val="en-GB"/>
        </w:rPr>
        <w:t>（3）重点企业</w:t>
      </w:r>
    </w:p>
    <w:p>
      <w:pPr>
        <w:pageBreakBefore w:val="0"/>
        <w:widowControl w:val="0"/>
        <w:kinsoku/>
        <w:wordWrap/>
        <w:overflowPunct/>
        <w:topLinePunct w:val="0"/>
        <w:bidi w:val="0"/>
        <w:adjustRightInd w:val="0"/>
        <w:snapToGrid w:val="0"/>
        <w:spacing w:beforeLines="0" w:afterLines="0" w:line="580" w:lineRule="exact"/>
        <w:ind w:firstLine="643"/>
        <w:textAlignment w:val="auto"/>
        <w:rPr>
          <w:color w:val="auto"/>
          <w:highlight w:val="none"/>
          <w:lang w:val="en-GB"/>
        </w:rPr>
      </w:pPr>
      <w:r>
        <w:rPr>
          <w:b/>
          <w:color w:val="auto"/>
          <w:highlight w:val="none"/>
          <w:lang w:val="en-GB"/>
        </w:rPr>
        <w:t>重点引进企业</w:t>
      </w:r>
      <w:r>
        <w:rPr>
          <w:bCs/>
          <w:color w:val="auto"/>
          <w:highlight w:val="none"/>
          <w:lang w:val="en-GB"/>
        </w:rPr>
        <w:t>。引进HTC、领英Nreal、爱奇艺、小米、创维、</w:t>
      </w:r>
      <w:r>
        <w:rPr>
          <w:rFonts w:hint="eastAsia"/>
          <w:bCs/>
          <w:color w:val="auto"/>
          <w:highlight w:val="none"/>
          <w:lang w:val="en-GB" w:eastAsia="zh-CN"/>
        </w:rPr>
        <w:t>字节跳动、歌尔股份、</w:t>
      </w:r>
      <w:r>
        <w:rPr>
          <w:bCs/>
          <w:color w:val="auto"/>
          <w:highlight w:val="none"/>
          <w:lang w:val="en-GB"/>
        </w:rPr>
        <w:t>亮风台、枭龙科技、蚁视科技、完美世界、小鸟看看、福建网龙等国内龙头企业，积极与</w:t>
      </w:r>
      <w:r>
        <w:rPr>
          <w:color w:val="auto"/>
          <w:highlight w:val="none"/>
          <w:lang w:val="en-GB"/>
        </w:rPr>
        <w:t>谷歌、苹果、三星、微软、Oculus、Magic Leap、LG、富士通、索尼、爱普生、Snap、Vuzix、STAR VR、Merge VR、Meta等国际企业沟通交流，推进企业在南昌设立研发中心。</w:t>
      </w:r>
    </w:p>
    <w:p>
      <w:pPr>
        <w:pStyle w:val="6"/>
        <w:pageBreakBefore w:val="0"/>
        <w:widowControl w:val="0"/>
        <w:kinsoku/>
        <w:wordWrap/>
        <w:overflowPunct/>
        <w:topLinePunct w:val="0"/>
        <w:bidi w:val="0"/>
        <w:spacing w:before="0" w:beforeLines="0" w:after="0" w:afterLines="0" w:line="580" w:lineRule="exact"/>
        <w:textAlignment w:val="auto"/>
        <w:rPr>
          <w:bCs w:val="0"/>
          <w:color w:val="auto"/>
          <w:highlight w:val="none"/>
        </w:rPr>
      </w:pPr>
      <w:bookmarkStart w:id="92" w:name="_Toc249020460"/>
      <w:bookmarkStart w:id="93" w:name="_Toc88257140"/>
      <w:bookmarkStart w:id="94" w:name="_Toc2343"/>
      <w:bookmarkStart w:id="95" w:name="_Toc6251"/>
      <w:r>
        <w:rPr>
          <w:rFonts w:hint="eastAsia"/>
          <w:bCs w:val="0"/>
          <w:color w:val="auto"/>
          <w:highlight w:val="none"/>
          <w:lang w:val="en-US" w:eastAsia="zh-CN"/>
        </w:rPr>
        <w:t>4</w:t>
      </w:r>
      <w:r>
        <w:rPr>
          <w:bCs w:val="0"/>
          <w:color w:val="auto"/>
          <w:highlight w:val="none"/>
        </w:rPr>
        <w:t>、5G</w:t>
      </w:r>
      <w:bookmarkEnd w:id="92"/>
    </w:p>
    <w:p>
      <w:pPr>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lang w:val="en-GB"/>
        </w:rPr>
      </w:pPr>
      <w:r>
        <w:rPr>
          <w:b/>
          <w:bCs/>
          <w:color w:val="auto"/>
          <w:highlight w:val="none"/>
          <w:lang w:val="en-GB"/>
        </w:rPr>
        <w:t>（</w:t>
      </w:r>
      <w:r>
        <w:rPr>
          <w:b/>
          <w:bCs/>
          <w:color w:val="auto"/>
          <w:highlight w:val="none"/>
        </w:rPr>
        <w:t>1</w:t>
      </w:r>
      <w:r>
        <w:rPr>
          <w:b/>
          <w:bCs/>
          <w:color w:val="auto"/>
          <w:highlight w:val="none"/>
          <w:lang w:val="en-GB"/>
        </w:rPr>
        <w:t>）重点方向</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3"/>
        <w:textAlignment w:val="auto"/>
        <w:rPr>
          <w:color w:val="auto"/>
          <w:kern w:val="0"/>
          <w:highlight w:val="none"/>
        </w:rPr>
      </w:pPr>
      <w:r>
        <w:rPr>
          <w:b/>
          <w:color w:val="auto"/>
          <w:kern w:val="0"/>
          <w:highlight w:val="none"/>
        </w:rPr>
        <w:t>丰富完善5G终端体系。</w:t>
      </w:r>
      <w:r>
        <w:rPr>
          <w:color w:val="auto"/>
          <w:kern w:val="0"/>
          <w:highlight w:val="none"/>
        </w:rPr>
        <w:t>丰富5G终端产品体系，支持整机制造企业开发适用5G技术的手机、平板电脑、智能手表、智能手环、虚拟现实穿戴设备、无人机、车载终端、医疗设备、安防设备等终端产品。</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3"/>
        <w:textAlignment w:val="auto"/>
        <w:rPr>
          <w:color w:val="auto"/>
          <w:kern w:val="0"/>
          <w:highlight w:val="none"/>
        </w:rPr>
      </w:pPr>
      <w:r>
        <w:rPr>
          <w:b/>
          <w:color w:val="auto"/>
          <w:kern w:val="0"/>
          <w:highlight w:val="none"/>
        </w:rPr>
        <w:t>做大5G关键器件规模。</w:t>
      </w:r>
      <w:r>
        <w:rPr>
          <w:color w:val="auto"/>
          <w:kern w:val="0"/>
          <w:highlight w:val="none"/>
        </w:rPr>
        <w:t>重点面向高门槛、高利润产业环节的5G关键元器件企业开展精准招商，甄选处于世界一流梯队的知名企业，加快引进滤波器、大规模天线、功率放大器等射频器件企业落户南昌，力争5年内招引1</w:t>
      </w:r>
      <w:r>
        <w:rPr>
          <w:rFonts w:hint="eastAsia"/>
          <w:color w:val="auto"/>
          <w:kern w:val="0"/>
          <w:highlight w:val="none"/>
          <w:lang w:val="en-US" w:eastAsia="zh-CN"/>
        </w:rPr>
        <w:t>-</w:t>
      </w:r>
      <w:r>
        <w:rPr>
          <w:color w:val="auto"/>
          <w:kern w:val="0"/>
          <w:highlight w:val="none"/>
        </w:rPr>
        <w:t>2家龙头。加强布局MEMS 传感器、射频电路等5G大规模芯片，开发GaAs、GaN等半导体材料生产线，增强5G关键元器件的制造综合能力。</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3"/>
        <w:textAlignment w:val="auto"/>
        <w:rPr>
          <w:b/>
          <w:color w:val="auto"/>
          <w:kern w:val="0"/>
          <w:highlight w:val="none"/>
        </w:rPr>
      </w:pPr>
      <w:r>
        <w:rPr>
          <w:b/>
          <w:color w:val="auto"/>
          <w:kern w:val="0"/>
          <w:highlight w:val="none"/>
        </w:rPr>
        <w:t>推广5G行业示范应用。</w:t>
      </w:r>
      <w:r>
        <w:rPr>
          <w:color w:val="auto"/>
          <w:kern w:val="0"/>
          <w:highlight w:val="none"/>
        </w:rPr>
        <w:t>发挥5G大带宽、低时延、广连接、高可靠优势，推动与虚拟现实、人工智能、物联网等技术在各行业的融合应用。在工业互联网领域，开发机器人控制、生产数据管理等5G应用场景；在智慧交通领域，开发车路协同、自动驾驶、车联网等5G应用场景；在影音领域，开发超高清视频、手游、直播等5G应用场景，以及开发远程医疗、远程教育、智慧安防等行业领域的应用</w:t>
      </w:r>
      <w:r>
        <w:rPr>
          <w:b/>
          <w:color w:val="auto"/>
          <w:kern w:val="0"/>
          <w:highlight w:val="none"/>
        </w:rPr>
        <w:t>。</w:t>
      </w:r>
    </w:p>
    <w:p>
      <w:pPr>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rPr>
      </w:pPr>
      <w:r>
        <w:rPr>
          <w:b/>
          <w:bCs/>
          <w:color w:val="auto"/>
          <w:highlight w:val="none"/>
          <w:lang w:val="en-GB"/>
        </w:rPr>
        <w:t>（</w:t>
      </w:r>
      <w:r>
        <w:rPr>
          <w:b/>
          <w:bCs/>
          <w:color w:val="auto"/>
          <w:highlight w:val="none"/>
        </w:rPr>
        <w:t>2</w:t>
      </w:r>
      <w:r>
        <w:rPr>
          <w:b/>
          <w:bCs/>
          <w:color w:val="auto"/>
          <w:highlight w:val="none"/>
          <w:lang w:val="en-GB"/>
        </w:rPr>
        <w:t>）</w:t>
      </w:r>
      <w:r>
        <w:rPr>
          <w:b/>
          <w:bCs/>
          <w:color w:val="auto"/>
          <w:highlight w:val="none"/>
        </w:rPr>
        <w:t>发展路径</w:t>
      </w:r>
    </w:p>
    <w:p>
      <w:pPr>
        <w:pageBreakBefore w:val="0"/>
        <w:widowControl w:val="0"/>
        <w:kinsoku/>
        <w:wordWrap/>
        <w:overflowPunct/>
        <w:topLinePunct w:val="0"/>
        <w:bidi w:val="0"/>
        <w:spacing w:beforeLines="0" w:afterLines="0" w:line="580" w:lineRule="exact"/>
        <w:textAlignment w:val="auto"/>
        <w:rPr>
          <w:bCs/>
          <w:color w:val="auto"/>
          <w:kern w:val="0"/>
          <w:highlight w:val="none"/>
        </w:rPr>
      </w:pPr>
      <w:r>
        <w:rPr>
          <w:bCs/>
          <w:color w:val="auto"/>
          <w:kern w:val="0"/>
          <w:highlight w:val="none"/>
        </w:rPr>
        <w:t>重点依托高新区，以“布局基础产业、培引产业集聚、赋能关联产业”三条产业路径为切入点。快速布局5G基础产业，重点引进一批射频器件制造企业，加强5G中高频器件等关键元器件领域的技术研发和产品布局。依托南昌移动智能终端基地建设，以整机制造为牵引，打造5G技术及成果转化全产业链条，</w:t>
      </w:r>
      <w:r>
        <w:rPr>
          <w:rFonts w:hint="eastAsia"/>
          <w:bCs/>
          <w:color w:val="auto"/>
          <w:kern w:val="0"/>
          <w:highlight w:val="none"/>
        </w:rPr>
        <w:t>开展5G知识产权布局，加强知识产权运营服务，</w:t>
      </w:r>
      <w:r>
        <w:rPr>
          <w:bCs/>
          <w:color w:val="auto"/>
          <w:kern w:val="0"/>
          <w:highlight w:val="none"/>
        </w:rPr>
        <w:t>支持华勤、龙旗等整机组装企业开发5G手机产品，支持平板电脑、智能可穿戴、智能家居、智能安防、智能车载等终端制造企业开发5G终端应用，打造5G产业重要集聚区。做好5G+工业互联网的应用推广，发挥南昌市虚拟现实产业引领优势，率先打响5G+VR行业应用品牌，带动各行业5G应用蓬勃发展。</w:t>
      </w:r>
    </w:p>
    <w:p>
      <w:pPr>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lang w:val="en-GB"/>
        </w:rPr>
      </w:pPr>
      <w:r>
        <w:rPr>
          <w:b/>
          <w:bCs/>
          <w:color w:val="auto"/>
          <w:highlight w:val="none"/>
          <w:lang w:val="en-GB"/>
        </w:rPr>
        <w:t>（</w:t>
      </w:r>
      <w:r>
        <w:rPr>
          <w:b/>
          <w:bCs/>
          <w:color w:val="auto"/>
          <w:highlight w:val="none"/>
        </w:rPr>
        <w:t>3</w:t>
      </w:r>
      <w:r>
        <w:rPr>
          <w:b/>
          <w:bCs/>
          <w:color w:val="auto"/>
          <w:highlight w:val="none"/>
          <w:lang w:val="en-GB"/>
        </w:rPr>
        <w:t>）重点企业</w:t>
      </w:r>
    </w:p>
    <w:p>
      <w:pPr>
        <w:pageBreakBefore w:val="0"/>
        <w:widowControl w:val="0"/>
        <w:kinsoku/>
        <w:wordWrap/>
        <w:overflowPunct/>
        <w:topLinePunct w:val="0"/>
        <w:bidi w:val="0"/>
        <w:spacing w:beforeLines="0" w:afterLines="0" w:line="580" w:lineRule="exact"/>
        <w:ind w:firstLine="643"/>
        <w:textAlignment w:val="auto"/>
        <w:rPr>
          <w:color w:val="auto"/>
          <w:highlight w:val="none"/>
        </w:rPr>
      </w:pPr>
      <w:r>
        <w:rPr>
          <w:b/>
          <w:color w:val="auto"/>
          <w:highlight w:val="none"/>
        </w:rPr>
        <w:t>重点引进企业</w:t>
      </w:r>
      <w:r>
        <w:rPr>
          <w:bCs/>
          <w:color w:val="auto"/>
          <w:highlight w:val="none"/>
        </w:rPr>
        <w:t>。引进京信通信、康普、凯瑟琳、摩比、通宇通讯、无锡好达、</w:t>
      </w:r>
      <w:r>
        <w:rPr>
          <w:color w:val="auto"/>
          <w:highlight w:val="none"/>
        </w:rPr>
        <w:t>锐迪科、唯捷创芯、中普微、国民飞骧、中科汉天下</w:t>
      </w:r>
      <w:r>
        <w:rPr>
          <w:rFonts w:hint="eastAsia"/>
          <w:color w:val="auto"/>
          <w:highlight w:val="none"/>
        </w:rPr>
        <w:t>、</w:t>
      </w:r>
      <w:r>
        <w:rPr>
          <w:rFonts w:ascii="仿宋_GB2312"/>
          <w:bCs/>
          <w:color w:val="auto"/>
          <w:highlight w:val="none"/>
        </w:rPr>
        <w:t>捷荣股份、领益智造、信利光电、瑞声科技、天马微电子、中兴通讯</w:t>
      </w:r>
      <w:r>
        <w:rPr>
          <w:rFonts w:hint="eastAsia" w:ascii="仿宋_GB2312"/>
          <w:bCs/>
          <w:color w:val="auto"/>
          <w:highlight w:val="none"/>
        </w:rPr>
        <w:t>、</w:t>
      </w:r>
      <w:r>
        <w:rPr>
          <w:rFonts w:ascii="仿宋_GB2312"/>
          <w:bCs/>
          <w:color w:val="auto"/>
          <w:highlight w:val="none"/>
        </w:rPr>
        <w:t>光峰</w:t>
      </w:r>
      <w:r>
        <w:rPr>
          <w:rFonts w:hint="eastAsia" w:ascii="仿宋_GB2312"/>
          <w:bCs/>
          <w:color w:val="auto"/>
          <w:highlight w:val="none"/>
        </w:rPr>
        <w:t>科技</w:t>
      </w:r>
      <w:r>
        <w:rPr>
          <w:bCs/>
          <w:color w:val="auto"/>
          <w:highlight w:val="none"/>
        </w:rPr>
        <w:t>等国内龙头企业，积极与Muruta、TDK、</w:t>
      </w:r>
      <w:r>
        <w:rPr>
          <w:color w:val="auto"/>
          <w:highlight w:val="none"/>
        </w:rPr>
        <w:t>Skyworks、Qorvo和Broadcom等国际企业沟通交流，推动在南昌设立研发中心。</w:t>
      </w:r>
    </w:p>
    <w:p>
      <w:pPr>
        <w:pageBreakBefore w:val="0"/>
        <w:widowControl w:val="0"/>
        <w:kinsoku/>
        <w:wordWrap/>
        <w:overflowPunct/>
        <w:topLinePunct w:val="0"/>
        <w:bidi w:val="0"/>
        <w:spacing w:beforeLines="0" w:afterLines="0" w:line="580" w:lineRule="exact"/>
        <w:ind w:firstLine="643"/>
        <w:jc w:val="left"/>
        <w:textAlignment w:val="auto"/>
        <w:outlineLvl w:val="1"/>
        <w:rPr>
          <w:rFonts w:eastAsia="楷体_GB2312"/>
          <w:b/>
          <w:bCs/>
          <w:color w:val="auto"/>
          <w:kern w:val="28"/>
          <w:highlight w:val="none"/>
        </w:rPr>
      </w:pPr>
      <w:bookmarkStart w:id="96" w:name="_Toc783102079"/>
      <w:r>
        <w:rPr>
          <w:rFonts w:eastAsia="楷体_GB2312"/>
          <w:b/>
          <w:bCs/>
          <w:color w:val="auto"/>
          <w:kern w:val="28"/>
          <w:highlight w:val="none"/>
        </w:rPr>
        <w:t>（二）延伸基础电子产业链条</w:t>
      </w:r>
      <w:bookmarkEnd w:id="93"/>
      <w:bookmarkEnd w:id="94"/>
      <w:bookmarkEnd w:id="95"/>
      <w:bookmarkEnd w:id="96"/>
    </w:p>
    <w:p>
      <w:pPr>
        <w:pageBreakBefore w:val="0"/>
        <w:widowControl w:val="0"/>
        <w:kinsoku/>
        <w:wordWrap/>
        <w:overflowPunct/>
        <w:topLinePunct w:val="0"/>
        <w:bidi w:val="0"/>
        <w:spacing w:beforeLines="0" w:afterLines="0" w:line="580" w:lineRule="exact"/>
        <w:jc w:val="left"/>
        <w:textAlignment w:val="auto"/>
        <w:rPr>
          <w:bCs/>
          <w:color w:val="auto"/>
          <w:highlight w:val="none"/>
          <w:lang w:val="en-GB"/>
        </w:rPr>
      </w:pPr>
      <w:r>
        <w:rPr>
          <w:color w:val="auto"/>
          <w:highlight w:val="none"/>
          <w:lang w:val="en-GB"/>
        </w:rPr>
        <w:t>围绕新型显示、电子材料、电子元器件、集成电路等四大重点方向，打造链条稳固、上下游配套、创新活跃的基础电子产业生态。</w:t>
      </w:r>
    </w:p>
    <w:p>
      <w:pPr>
        <w:pageBreakBefore w:val="0"/>
        <w:widowControl w:val="0"/>
        <w:kinsoku/>
        <w:wordWrap/>
        <w:overflowPunct/>
        <w:topLinePunct w:val="0"/>
        <w:bidi w:val="0"/>
        <w:snapToGrid w:val="0"/>
        <w:spacing w:beforeLines="0" w:afterLines="0" w:line="580" w:lineRule="exact"/>
        <w:ind w:firstLine="643"/>
        <w:textAlignment w:val="auto"/>
        <w:outlineLvl w:val="2"/>
        <w:rPr>
          <w:color w:val="auto"/>
          <w:highlight w:val="none"/>
        </w:rPr>
      </w:pPr>
      <w:bookmarkStart w:id="97" w:name="_Toc88257141"/>
      <w:bookmarkStart w:id="98" w:name="_Toc1565298997"/>
      <w:bookmarkStart w:id="99" w:name="_Toc58270311"/>
      <w:r>
        <w:rPr>
          <w:b/>
          <w:color w:val="auto"/>
          <w:highlight w:val="none"/>
        </w:rPr>
        <w:t>1</w:t>
      </w:r>
      <w:r>
        <w:rPr>
          <w:rFonts w:hint="eastAsia"/>
          <w:b/>
          <w:color w:val="auto"/>
          <w:highlight w:val="none"/>
        </w:rPr>
        <w:t>、新型显示</w:t>
      </w:r>
      <w:bookmarkEnd w:id="97"/>
      <w:bookmarkEnd w:id="98"/>
    </w:p>
    <w:p>
      <w:pPr>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lang w:val="en-GB"/>
        </w:rPr>
      </w:pPr>
      <w:r>
        <w:rPr>
          <w:b/>
          <w:bCs/>
          <w:color w:val="auto"/>
          <w:highlight w:val="none"/>
          <w:lang w:val="en-GB"/>
        </w:rPr>
        <w:t>（1）重点方向</w:t>
      </w:r>
    </w:p>
    <w:p>
      <w:pPr>
        <w:pageBreakBefore w:val="0"/>
        <w:widowControl w:val="0"/>
        <w:kinsoku/>
        <w:wordWrap/>
        <w:overflowPunct/>
        <w:topLinePunct w:val="0"/>
        <w:bidi w:val="0"/>
        <w:adjustRightInd w:val="0"/>
        <w:snapToGrid w:val="0"/>
        <w:spacing w:beforeLines="0" w:afterLines="0" w:line="580" w:lineRule="exact"/>
        <w:ind w:firstLine="643"/>
        <w:textAlignment w:val="auto"/>
        <w:rPr>
          <w:b/>
          <w:bCs/>
          <w:color w:val="auto"/>
          <w:highlight w:val="none"/>
        </w:rPr>
      </w:pPr>
      <w:r>
        <w:rPr>
          <w:b/>
          <w:bCs/>
          <w:color w:val="auto"/>
          <w:highlight w:val="none"/>
        </w:rPr>
        <w:t>LCD面板</w:t>
      </w:r>
      <w:r>
        <w:rPr>
          <w:color w:val="auto"/>
          <w:highlight w:val="none"/>
        </w:rPr>
        <w:t>。依托华视光电、友联达光电等企业，开展工艺技术和产品的创新与突破。</w:t>
      </w:r>
      <w:r>
        <w:rPr>
          <w:b/>
          <w:bCs/>
          <w:color w:val="auto"/>
          <w:highlight w:val="none"/>
        </w:rPr>
        <w:t>工艺技术方面</w:t>
      </w:r>
      <w:r>
        <w:rPr>
          <w:color w:val="auto"/>
          <w:highlight w:val="none"/>
        </w:rPr>
        <w:t>，以低温多晶硅（LPTS）等先进背板技术为基础，突破中小尺寸LCD显示面板工艺，研发柔性LCD器件生产工艺，包括全面屏窄边框技术、亮色度显示画质提升、响应时间与功耗优化等。</w:t>
      </w:r>
      <w:r>
        <w:rPr>
          <w:b/>
          <w:bCs/>
          <w:color w:val="auto"/>
          <w:highlight w:val="none"/>
        </w:rPr>
        <w:t>产品方面</w:t>
      </w:r>
      <w:r>
        <w:rPr>
          <w:color w:val="auto"/>
          <w:highlight w:val="none"/>
        </w:rPr>
        <w:t>，紧抓终端产品屏幕差异化发展的趋势，发展用于曲面显示等领域的4K/8K、高亮度、低功耗、窄边框中小尺寸LCD显示面板及模组。</w:t>
      </w:r>
    </w:p>
    <w:p>
      <w:pPr>
        <w:pageBreakBefore w:val="0"/>
        <w:widowControl w:val="0"/>
        <w:kinsoku/>
        <w:wordWrap/>
        <w:overflowPunct/>
        <w:topLinePunct w:val="0"/>
        <w:bidi w:val="0"/>
        <w:adjustRightInd w:val="0"/>
        <w:snapToGrid w:val="0"/>
        <w:spacing w:beforeLines="0" w:afterLines="0" w:line="580" w:lineRule="exact"/>
        <w:ind w:firstLine="643"/>
        <w:textAlignment w:val="auto"/>
        <w:rPr>
          <w:color w:val="auto"/>
          <w:highlight w:val="none"/>
        </w:rPr>
      </w:pPr>
      <w:r>
        <w:rPr>
          <w:b/>
          <w:bCs/>
          <w:color w:val="auto"/>
          <w:highlight w:val="none"/>
        </w:rPr>
        <w:t>OLED面板。</w:t>
      </w:r>
      <w:r>
        <w:rPr>
          <w:color w:val="auto"/>
          <w:highlight w:val="none"/>
        </w:rPr>
        <w:t>开展OLED技术的创新与突破，拓展OLED显示模组的多样化和差异化。重点开展可卷曲、非玻璃材质的柔性可折叠OLED、新型薄膜封装层集成触控（TPOT）、屏下指纹、屏下镜头、开孔式全面屏、卷曲面/拉伸OLED等领域的创新与突破。发展Micro-OLED（硅基OLED）、印刷OLED、量子点面板（QD-OLED）、透明OLED等多种OLED显示技术，为下游产品形态多样化发展提供可能。</w:t>
      </w:r>
    </w:p>
    <w:p>
      <w:pPr>
        <w:pageBreakBefore w:val="0"/>
        <w:widowControl w:val="0"/>
        <w:kinsoku/>
        <w:wordWrap/>
        <w:overflowPunct/>
        <w:topLinePunct w:val="0"/>
        <w:bidi w:val="0"/>
        <w:adjustRightInd w:val="0"/>
        <w:snapToGrid w:val="0"/>
        <w:spacing w:beforeLines="0" w:afterLines="0" w:line="580" w:lineRule="exact"/>
        <w:ind w:firstLine="643"/>
        <w:textAlignment w:val="auto"/>
        <w:rPr>
          <w:b/>
          <w:bCs/>
          <w:color w:val="auto"/>
          <w:highlight w:val="none"/>
        </w:rPr>
      </w:pPr>
      <w:r>
        <w:rPr>
          <w:b/>
          <w:bCs/>
          <w:color w:val="auto"/>
          <w:highlight w:val="none"/>
        </w:rPr>
        <w:t>其他新型显示。</w:t>
      </w:r>
      <w:r>
        <w:rPr>
          <w:color w:val="auto"/>
          <w:highlight w:val="none"/>
        </w:rPr>
        <w:t>瞄准微型有机发光二极管（Micro-LED）技术、低温多晶氧化物（LPTO）背板技术等前瞻性技术领域的创新突破。发展纳米级LED转运、芯片级焊接、外延级焊接和巨量转移等技术，解决微型化、高密度、阵列化、薄膜化的LED晶体难以转移到驱动面板上的难题，和Micro-LED全彩化、发光波长一致性的问题。</w:t>
      </w:r>
    </w:p>
    <w:p>
      <w:pPr>
        <w:pageBreakBefore w:val="0"/>
        <w:widowControl w:val="0"/>
        <w:kinsoku/>
        <w:wordWrap/>
        <w:overflowPunct/>
        <w:topLinePunct w:val="0"/>
        <w:bidi w:val="0"/>
        <w:adjustRightInd w:val="0"/>
        <w:snapToGrid w:val="0"/>
        <w:spacing w:beforeLines="0" w:afterLines="0" w:line="580" w:lineRule="exact"/>
        <w:ind w:firstLine="643"/>
        <w:textAlignment w:val="auto"/>
        <w:rPr>
          <w:color w:val="auto"/>
          <w:highlight w:val="none"/>
        </w:rPr>
      </w:pPr>
      <w:r>
        <w:rPr>
          <w:b/>
          <w:bCs/>
          <w:color w:val="auto"/>
          <w:highlight w:val="none"/>
        </w:rPr>
        <w:t>材料配套</w:t>
      </w:r>
      <w:r>
        <w:rPr>
          <w:color w:val="auto"/>
          <w:highlight w:val="none"/>
        </w:rPr>
        <w:t>。提升关键原辅材料的生产、检测和运输配套能力，突破制约新型显示技术发展的高端材料领域。</w:t>
      </w:r>
      <w:r>
        <w:rPr>
          <w:b/>
          <w:bCs/>
          <w:color w:val="auto"/>
          <w:highlight w:val="none"/>
        </w:rPr>
        <w:t>原辅材料</w:t>
      </w:r>
      <w:r>
        <w:rPr>
          <w:color w:val="auto"/>
          <w:highlight w:val="none"/>
        </w:rPr>
        <w:t>，重点提升玻璃基板、高性能液晶材料、彩色滤光片、偏光片、掩膜板、驱动IC、背光模组、柔性基板、有机发光材料、靶材等材料的本地配套能力。</w:t>
      </w:r>
      <w:r>
        <w:rPr>
          <w:b/>
          <w:bCs/>
          <w:color w:val="auto"/>
          <w:highlight w:val="none"/>
        </w:rPr>
        <w:t>高端材料领域</w:t>
      </w:r>
      <w:r>
        <w:rPr>
          <w:color w:val="auto"/>
          <w:highlight w:val="none"/>
        </w:rPr>
        <w:t>，解决有机发光材料、溶剂等尚不适合大规模生产要求的问题，开发高迁移率深能级空穴传输材料、高性能电致无镉量子点材料、可溶性电子传输层材料、可薄膜化高透明导电材料等，并在大尺寸和高分辨率显示方面实现应用。</w:t>
      </w:r>
    </w:p>
    <w:p>
      <w:pPr>
        <w:pageBreakBefore w:val="0"/>
        <w:widowControl w:val="0"/>
        <w:kinsoku/>
        <w:wordWrap/>
        <w:overflowPunct/>
        <w:topLinePunct w:val="0"/>
        <w:bidi w:val="0"/>
        <w:spacing w:beforeLines="0" w:after="0" w:afterLines="0" w:line="580" w:lineRule="exact"/>
        <w:ind w:firstLine="643"/>
        <w:textAlignment w:val="auto"/>
        <w:outlineLvl w:val="3"/>
        <w:rPr>
          <w:b/>
          <w:bCs/>
          <w:color w:val="auto"/>
          <w:highlight w:val="none"/>
          <w:lang w:val="en-GB"/>
        </w:rPr>
      </w:pPr>
      <w:r>
        <w:rPr>
          <w:b/>
          <w:bCs/>
          <w:color w:val="auto"/>
          <w:highlight w:val="none"/>
          <w:lang w:val="en-GB"/>
        </w:rPr>
        <w:t>（2）发展路径</w:t>
      </w:r>
    </w:p>
    <w:p>
      <w:pPr>
        <w:pageBreakBefore w:val="0"/>
        <w:widowControl w:val="0"/>
        <w:kinsoku/>
        <w:wordWrap/>
        <w:overflowPunct/>
        <w:topLinePunct w:val="0"/>
        <w:bidi w:val="0"/>
        <w:adjustRightInd w:val="0"/>
        <w:snapToGrid w:val="0"/>
        <w:spacing w:beforeLines="0" w:afterLines="0" w:line="580" w:lineRule="exact"/>
        <w:textAlignment w:val="auto"/>
        <w:rPr>
          <w:color w:val="auto"/>
          <w:highlight w:val="none"/>
        </w:rPr>
      </w:pPr>
      <w:r>
        <w:rPr>
          <w:color w:val="auto"/>
          <w:highlight w:val="none"/>
        </w:rPr>
        <w:t>坚持自主创新与开放合作相结合。支持优势企业向产业链上游延伸，与新材料、新工艺技术企业加强合作，全力推进新技术新材料的研发。促进新型显示企业与移动智能终端、汽车电子等下游产业的横向合作，从终端产品需求出发，改善上游工艺技术、开发新材料，打通产业链条，形成产业链上下游协同发展的产业集群。开展招商引资工作，加快引进新型显示重大项目和领军企业，鼓励引进、消化、吸收国外先进技术，推动新型显示技术的变革。</w:t>
      </w:r>
    </w:p>
    <w:p>
      <w:pPr>
        <w:pStyle w:val="7"/>
        <w:pageBreakBefore w:val="0"/>
        <w:widowControl w:val="0"/>
        <w:kinsoku/>
        <w:wordWrap/>
        <w:overflowPunct/>
        <w:topLinePunct w:val="0"/>
        <w:bidi w:val="0"/>
        <w:spacing w:before="0" w:beforeLines="0" w:after="0" w:afterLines="0" w:line="580" w:lineRule="exact"/>
        <w:ind w:firstLine="643"/>
        <w:textAlignment w:val="auto"/>
        <w:rPr>
          <w:rFonts w:ascii="Times New Roman" w:hAnsi="Times New Roman" w:eastAsia="仿宋_GB2312" w:cs="Times New Roman"/>
          <w:color w:val="auto"/>
          <w:sz w:val="32"/>
          <w:szCs w:val="32"/>
          <w:highlight w:val="none"/>
          <w:lang w:val="en-GB"/>
        </w:rPr>
      </w:pPr>
      <w:r>
        <w:rPr>
          <w:rFonts w:ascii="Times New Roman" w:hAnsi="Times New Roman" w:eastAsia="仿宋_GB2312" w:cs="Times New Roman"/>
          <w:color w:val="auto"/>
          <w:sz w:val="32"/>
          <w:szCs w:val="32"/>
          <w:highlight w:val="none"/>
          <w:lang w:val="en-GB"/>
        </w:rPr>
        <w:t>（</w:t>
      </w:r>
      <w:r>
        <w:rPr>
          <w:rFonts w:ascii="Times New Roman" w:hAnsi="Times New Roman" w:eastAsia="仿宋_GB2312" w:cs="Times New Roman"/>
          <w:color w:val="auto"/>
          <w:sz w:val="32"/>
          <w:szCs w:val="32"/>
          <w:highlight w:val="none"/>
        </w:rPr>
        <w:t>3</w:t>
      </w:r>
      <w:r>
        <w:rPr>
          <w:rFonts w:ascii="Times New Roman" w:hAnsi="Times New Roman" w:eastAsia="仿宋_GB2312" w:cs="Times New Roman"/>
          <w:color w:val="auto"/>
          <w:sz w:val="32"/>
          <w:szCs w:val="32"/>
          <w:highlight w:val="none"/>
          <w:lang w:val="en-GB"/>
        </w:rPr>
        <w:t>）重点企业</w:t>
      </w:r>
    </w:p>
    <w:p>
      <w:pPr>
        <w:pageBreakBefore w:val="0"/>
        <w:widowControl w:val="0"/>
        <w:kinsoku/>
        <w:wordWrap/>
        <w:overflowPunct/>
        <w:topLinePunct w:val="0"/>
        <w:bidi w:val="0"/>
        <w:spacing w:beforeLines="0" w:afterLines="0" w:line="580" w:lineRule="exact"/>
        <w:ind w:firstLine="643"/>
        <w:textAlignment w:val="auto"/>
        <w:rPr>
          <w:b/>
          <w:color w:val="auto"/>
          <w:highlight w:val="none"/>
        </w:rPr>
      </w:pPr>
      <w:r>
        <w:rPr>
          <w:b/>
          <w:color w:val="auto"/>
          <w:highlight w:val="none"/>
        </w:rPr>
        <w:t>重点引进企业。</w:t>
      </w:r>
      <w:r>
        <w:rPr>
          <w:color w:val="auto"/>
          <w:highlight w:val="none"/>
        </w:rPr>
        <w:t>重点引进京东方、华星光电、天马、维信诺、三星、LG、力特光电、盛波光电、万润股份、清益光电、万润股份、西安瑞联、宇瑞化学、LG化学等企业。</w:t>
      </w:r>
    </w:p>
    <w:p>
      <w:pPr>
        <w:pStyle w:val="6"/>
        <w:pageBreakBefore w:val="0"/>
        <w:widowControl w:val="0"/>
        <w:kinsoku/>
        <w:wordWrap/>
        <w:overflowPunct/>
        <w:topLinePunct w:val="0"/>
        <w:bidi w:val="0"/>
        <w:spacing w:before="0" w:beforeLines="0" w:after="0" w:afterLines="0" w:line="580" w:lineRule="exact"/>
        <w:jc w:val="both"/>
        <w:textAlignment w:val="auto"/>
        <w:rPr>
          <w:bCs w:val="0"/>
          <w:color w:val="auto"/>
          <w:highlight w:val="none"/>
        </w:rPr>
      </w:pPr>
      <w:bookmarkStart w:id="100" w:name="_Toc1604656803"/>
      <w:bookmarkStart w:id="101" w:name="_Toc88257142"/>
      <w:r>
        <w:rPr>
          <w:bCs w:val="0"/>
          <w:color w:val="auto"/>
          <w:highlight w:val="none"/>
        </w:rPr>
        <w:t>2、电子材料</w:t>
      </w:r>
      <w:bookmarkEnd w:id="100"/>
      <w:bookmarkEnd w:id="101"/>
    </w:p>
    <w:p>
      <w:pPr>
        <w:pageBreakBefore w:val="0"/>
        <w:widowControl w:val="0"/>
        <w:kinsoku/>
        <w:wordWrap/>
        <w:overflowPunct/>
        <w:topLinePunct w:val="0"/>
        <w:bidi w:val="0"/>
        <w:spacing w:beforeLines="0" w:after="0" w:afterLines="0" w:line="580" w:lineRule="exact"/>
        <w:ind w:firstLine="643"/>
        <w:textAlignment w:val="auto"/>
        <w:outlineLvl w:val="3"/>
        <w:rPr>
          <w:b/>
          <w:bCs/>
          <w:color w:val="auto"/>
          <w:highlight w:val="none"/>
          <w:lang w:val="en-GB"/>
        </w:rPr>
      </w:pPr>
      <w:r>
        <w:rPr>
          <w:b/>
          <w:bCs/>
          <w:color w:val="auto"/>
          <w:highlight w:val="none"/>
          <w:lang w:val="en-GB"/>
        </w:rPr>
        <w:t>（</w:t>
      </w:r>
      <w:r>
        <w:rPr>
          <w:b/>
          <w:bCs/>
          <w:color w:val="auto"/>
          <w:highlight w:val="none"/>
        </w:rPr>
        <w:t>1</w:t>
      </w:r>
      <w:r>
        <w:rPr>
          <w:b/>
          <w:bCs/>
          <w:color w:val="auto"/>
          <w:highlight w:val="none"/>
          <w:lang w:val="en-GB"/>
        </w:rPr>
        <w:t>）重点方向</w:t>
      </w:r>
    </w:p>
    <w:p>
      <w:pPr>
        <w:pageBreakBefore w:val="0"/>
        <w:widowControl w:val="0"/>
        <w:kinsoku/>
        <w:wordWrap/>
        <w:overflowPunct/>
        <w:topLinePunct w:val="0"/>
        <w:bidi w:val="0"/>
        <w:adjustRightInd w:val="0"/>
        <w:snapToGrid w:val="0"/>
        <w:spacing w:beforeLines="0" w:afterLines="0" w:line="580" w:lineRule="exact"/>
        <w:ind w:firstLine="643"/>
        <w:textAlignment w:val="auto"/>
        <w:rPr>
          <w:color w:val="auto"/>
          <w:szCs w:val="28"/>
          <w:highlight w:val="none"/>
        </w:rPr>
      </w:pPr>
      <w:r>
        <w:rPr>
          <w:b/>
          <w:bCs/>
          <w:color w:val="auto"/>
          <w:szCs w:val="28"/>
          <w:highlight w:val="none"/>
        </w:rPr>
        <w:t>发展半导体材料</w:t>
      </w:r>
      <w:r>
        <w:rPr>
          <w:color w:val="auto"/>
          <w:szCs w:val="28"/>
          <w:highlight w:val="none"/>
        </w:rPr>
        <w:t>。</w:t>
      </w:r>
      <w:r>
        <w:rPr>
          <w:color w:val="auto"/>
          <w:szCs w:val="28"/>
          <w:highlight w:val="none"/>
          <w:lang w:val="en-GB"/>
        </w:rPr>
        <w:t>重点突破硅基、SiC、GaN器件封装材料、封装设计和封装工艺技术，发展硅材料（硅单晶、抛光片、外延片、绝缘硅、锗硅）、电子浆料、靶材及化合物半导体材料，蓝宝石和碳化硅等衬底材料。</w:t>
      </w:r>
    </w:p>
    <w:p>
      <w:pPr>
        <w:pageBreakBefore w:val="0"/>
        <w:widowControl w:val="0"/>
        <w:kinsoku/>
        <w:wordWrap/>
        <w:overflowPunct/>
        <w:topLinePunct w:val="0"/>
        <w:bidi w:val="0"/>
        <w:adjustRightInd w:val="0"/>
        <w:snapToGrid w:val="0"/>
        <w:spacing w:beforeLines="0" w:afterLines="0" w:line="580" w:lineRule="exact"/>
        <w:ind w:firstLine="643"/>
        <w:textAlignment w:val="auto"/>
        <w:rPr>
          <w:color w:val="auto"/>
          <w:szCs w:val="28"/>
          <w:highlight w:val="none"/>
          <w:lang w:val="en-GB"/>
        </w:rPr>
      </w:pPr>
      <w:r>
        <w:rPr>
          <w:b/>
          <w:bCs/>
          <w:color w:val="auto"/>
          <w:szCs w:val="28"/>
          <w:highlight w:val="none"/>
        </w:rPr>
        <w:t>发展锂离子电池材料</w:t>
      </w:r>
      <w:r>
        <w:rPr>
          <w:color w:val="auto"/>
          <w:szCs w:val="28"/>
          <w:highlight w:val="none"/>
        </w:rPr>
        <w:t>。</w:t>
      </w:r>
      <w:r>
        <w:rPr>
          <w:color w:val="auto"/>
          <w:szCs w:val="28"/>
          <w:highlight w:val="none"/>
          <w:lang w:val="en-GB"/>
        </w:rPr>
        <w:t>大力发展锂离子电池材料相关的新型高电压正极材料、高比能量正负极材料、高电压电解液、高性能阻燃隔膜。</w:t>
      </w:r>
      <w:r>
        <w:rPr>
          <w:color w:val="auto"/>
          <w:szCs w:val="28"/>
          <w:highlight w:val="none"/>
        </w:rPr>
        <w:t>发展铜箔、铝箔、导电剂、分散剂、粘结剂等辅助材料，不断提升本地配套能力。</w:t>
      </w:r>
    </w:p>
    <w:p>
      <w:pPr>
        <w:pageBreakBefore w:val="0"/>
        <w:widowControl w:val="0"/>
        <w:kinsoku/>
        <w:wordWrap/>
        <w:overflowPunct/>
        <w:topLinePunct w:val="0"/>
        <w:bidi w:val="0"/>
        <w:adjustRightInd w:val="0"/>
        <w:snapToGrid w:val="0"/>
        <w:spacing w:beforeLines="0" w:afterLines="0" w:line="580" w:lineRule="exact"/>
        <w:ind w:firstLine="643"/>
        <w:textAlignment w:val="auto"/>
        <w:rPr>
          <w:rFonts w:eastAsia="仿宋"/>
          <w:color w:val="auto"/>
          <w:highlight w:val="none"/>
        </w:rPr>
      </w:pPr>
      <w:r>
        <w:rPr>
          <w:b/>
          <w:bCs/>
          <w:color w:val="auto"/>
          <w:szCs w:val="28"/>
          <w:highlight w:val="none"/>
        </w:rPr>
        <w:t>发展</w:t>
      </w:r>
      <w:r>
        <w:rPr>
          <w:b/>
          <w:bCs/>
          <w:color w:val="auto"/>
          <w:szCs w:val="28"/>
          <w:highlight w:val="none"/>
          <w:lang w:val="en-GB"/>
        </w:rPr>
        <w:t>功能陶瓷</w:t>
      </w:r>
      <w:r>
        <w:rPr>
          <w:b/>
          <w:bCs/>
          <w:color w:val="auto"/>
          <w:szCs w:val="28"/>
          <w:highlight w:val="none"/>
        </w:rPr>
        <w:t>材料</w:t>
      </w:r>
      <w:r>
        <w:rPr>
          <w:color w:val="auto"/>
          <w:szCs w:val="28"/>
          <w:highlight w:val="none"/>
        </w:rPr>
        <w:t>。开发高端电子浆料和导电金属浆料，发展片式超薄介质高容电子陶瓷材料、低温共烧陶瓷（LTCC）多层陶瓷基板、</w:t>
      </w:r>
      <w:r>
        <w:rPr>
          <w:rFonts w:eastAsia="仿宋"/>
          <w:color w:val="auto"/>
          <w:highlight w:val="none"/>
        </w:rPr>
        <w:t>高导热陶瓷、高性能陶瓷基板及外壳、</w:t>
      </w:r>
      <w:r>
        <w:rPr>
          <w:color w:val="auto"/>
          <w:szCs w:val="28"/>
          <w:highlight w:val="none"/>
        </w:rPr>
        <w:t>片式电感用陶瓷基底等电子陶瓷材料。</w:t>
      </w:r>
    </w:p>
    <w:p>
      <w:pPr>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rPr>
      </w:pPr>
      <w:r>
        <w:rPr>
          <w:b/>
          <w:bCs/>
          <w:color w:val="auto"/>
          <w:highlight w:val="none"/>
          <w:lang w:val="en-GB"/>
        </w:rPr>
        <w:t>（</w:t>
      </w:r>
      <w:r>
        <w:rPr>
          <w:b/>
          <w:bCs/>
          <w:color w:val="auto"/>
          <w:highlight w:val="none"/>
        </w:rPr>
        <w:t>2</w:t>
      </w:r>
      <w:r>
        <w:rPr>
          <w:b/>
          <w:bCs/>
          <w:color w:val="auto"/>
          <w:highlight w:val="none"/>
          <w:lang w:val="en-GB"/>
        </w:rPr>
        <w:t>）</w:t>
      </w:r>
      <w:r>
        <w:rPr>
          <w:b/>
          <w:bCs/>
          <w:color w:val="auto"/>
          <w:highlight w:val="none"/>
        </w:rPr>
        <w:t>发展路径</w:t>
      </w:r>
    </w:p>
    <w:p>
      <w:pPr>
        <w:pageBreakBefore w:val="0"/>
        <w:widowControl w:val="0"/>
        <w:kinsoku/>
        <w:wordWrap/>
        <w:overflowPunct/>
        <w:topLinePunct w:val="0"/>
        <w:bidi w:val="0"/>
        <w:spacing w:beforeLines="0" w:afterLines="0" w:line="580" w:lineRule="exact"/>
        <w:textAlignment w:val="auto"/>
        <w:rPr>
          <w:color w:val="auto"/>
          <w:highlight w:val="none"/>
        </w:rPr>
      </w:pPr>
      <w:r>
        <w:rPr>
          <w:color w:val="auto"/>
          <w:highlight w:val="none"/>
        </w:rPr>
        <w:t>积极承接长三角地区、</w:t>
      </w:r>
      <w:r>
        <w:rPr>
          <w:rFonts w:hint="eastAsia"/>
          <w:color w:val="auto"/>
          <w:highlight w:val="none"/>
        </w:rPr>
        <w:t>粤港澳大湾区</w:t>
      </w:r>
      <w:r>
        <w:rPr>
          <w:color w:val="auto"/>
          <w:highlight w:val="none"/>
        </w:rPr>
        <w:t>电子材料产业转移，通过引进与培育龙头企业，打造完善的电子材料产业链。通过产学研结合，</w:t>
      </w:r>
      <w:r>
        <w:rPr>
          <w:bCs/>
          <w:color w:val="auto"/>
          <w:highlight w:val="none"/>
        </w:rPr>
        <w:t>建设电子材料产品研发中心、实验测试公共服务平台，提供产学研用合作、材料应用测试、性能测试等服务，</w:t>
      </w:r>
      <w:r>
        <w:rPr>
          <w:color w:val="auto"/>
          <w:highlight w:val="none"/>
        </w:rPr>
        <w:t>产学研紧密结合，</w:t>
      </w:r>
      <w:r>
        <w:rPr>
          <w:bCs/>
          <w:color w:val="auto"/>
          <w:highlight w:val="none"/>
        </w:rPr>
        <w:t>吸引电子材料科研资源和团队。</w:t>
      </w:r>
    </w:p>
    <w:p>
      <w:pPr>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lang w:val="en-GB"/>
        </w:rPr>
      </w:pPr>
      <w:r>
        <w:rPr>
          <w:b/>
          <w:bCs/>
          <w:color w:val="auto"/>
          <w:highlight w:val="none"/>
          <w:lang w:val="en-GB"/>
        </w:rPr>
        <w:t>（</w:t>
      </w:r>
      <w:r>
        <w:rPr>
          <w:b/>
          <w:bCs/>
          <w:color w:val="auto"/>
          <w:highlight w:val="none"/>
        </w:rPr>
        <w:t>3</w:t>
      </w:r>
      <w:r>
        <w:rPr>
          <w:b/>
          <w:bCs/>
          <w:color w:val="auto"/>
          <w:highlight w:val="none"/>
          <w:lang w:val="en-GB"/>
        </w:rPr>
        <w:t>）重点企业</w:t>
      </w:r>
    </w:p>
    <w:p>
      <w:pPr>
        <w:pageBreakBefore w:val="0"/>
        <w:widowControl w:val="0"/>
        <w:kinsoku/>
        <w:wordWrap/>
        <w:overflowPunct/>
        <w:topLinePunct w:val="0"/>
        <w:bidi w:val="0"/>
        <w:adjustRightInd w:val="0"/>
        <w:snapToGrid w:val="0"/>
        <w:spacing w:beforeLines="0" w:afterLines="0" w:line="580" w:lineRule="exact"/>
        <w:ind w:firstLine="643"/>
        <w:textAlignment w:val="auto"/>
        <w:rPr>
          <w:color w:val="auto"/>
          <w:highlight w:val="none"/>
          <w:lang w:val="en-GB"/>
        </w:rPr>
      </w:pPr>
      <w:r>
        <w:rPr>
          <w:b/>
          <w:color w:val="auto"/>
          <w:highlight w:val="none"/>
          <w:lang w:val="en-GB"/>
        </w:rPr>
        <w:t>重点引进企业</w:t>
      </w:r>
      <w:r>
        <w:rPr>
          <w:color w:val="auto"/>
          <w:highlight w:val="none"/>
          <w:lang w:val="en-GB"/>
        </w:rPr>
        <w:t>。引进</w:t>
      </w:r>
      <w:r>
        <w:rPr>
          <w:color w:val="auto"/>
          <w:kern w:val="0"/>
          <w:szCs w:val="21"/>
          <w:highlight w:val="none"/>
          <w:lang w:val="en-GB"/>
        </w:rPr>
        <w:t>江丰电子、</w:t>
      </w:r>
      <w:r>
        <w:rPr>
          <w:color w:val="auto"/>
          <w:highlight w:val="none"/>
          <w:lang w:val="en-GB"/>
        </w:rPr>
        <w:t>贝特瑞、杉杉股份、亚化学、户田工业、湖南瑞翔、厦门钨业、旭化成、星源材质、中科科技、金辉高科、风华高科、潮州三环、贺利氏、贵研铂业、东阳光科、南通南辉等企业。</w:t>
      </w:r>
    </w:p>
    <w:bookmarkEnd w:id="99"/>
    <w:p>
      <w:pPr>
        <w:pStyle w:val="6"/>
        <w:pageBreakBefore w:val="0"/>
        <w:widowControl w:val="0"/>
        <w:kinsoku/>
        <w:wordWrap/>
        <w:overflowPunct/>
        <w:topLinePunct w:val="0"/>
        <w:bidi w:val="0"/>
        <w:spacing w:before="0" w:beforeLines="0" w:after="0" w:afterLines="0" w:line="580" w:lineRule="exact"/>
        <w:textAlignment w:val="auto"/>
        <w:rPr>
          <w:bCs w:val="0"/>
          <w:color w:val="auto"/>
          <w:highlight w:val="none"/>
        </w:rPr>
      </w:pPr>
      <w:bookmarkStart w:id="102" w:name="_Toc88257143"/>
      <w:bookmarkStart w:id="103" w:name="_Toc3788783"/>
      <w:bookmarkStart w:id="104" w:name="_Toc27470"/>
      <w:bookmarkStart w:id="105" w:name="_Toc6180"/>
      <w:r>
        <w:rPr>
          <w:bCs w:val="0"/>
          <w:color w:val="auto"/>
          <w:highlight w:val="none"/>
        </w:rPr>
        <w:t>3、电子元器件</w:t>
      </w:r>
      <w:bookmarkEnd w:id="102"/>
      <w:bookmarkEnd w:id="103"/>
    </w:p>
    <w:p>
      <w:pPr>
        <w:pStyle w:val="7"/>
        <w:pageBreakBefore w:val="0"/>
        <w:widowControl w:val="0"/>
        <w:kinsoku/>
        <w:wordWrap/>
        <w:overflowPunct/>
        <w:topLinePunct w:val="0"/>
        <w:bidi w:val="0"/>
        <w:spacing w:before="0" w:beforeLines="0" w:after="0" w:afterLines="0" w:line="580" w:lineRule="exact"/>
        <w:ind w:firstLine="643"/>
        <w:textAlignment w:val="auto"/>
        <w:rPr>
          <w:rFonts w:ascii="Times New Roman" w:hAnsi="Times New Roman" w:eastAsia="仿宋_GB2312" w:cs="Times New Roman"/>
          <w:color w:val="auto"/>
          <w:sz w:val="32"/>
          <w:szCs w:val="32"/>
          <w:highlight w:val="none"/>
          <w:lang w:val="en-GB"/>
        </w:rPr>
      </w:pPr>
      <w:r>
        <w:rPr>
          <w:rFonts w:ascii="Times New Roman" w:hAnsi="Times New Roman" w:eastAsia="仿宋_GB2312" w:cs="Times New Roman"/>
          <w:color w:val="auto"/>
          <w:sz w:val="32"/>
          <w:szCs w:val="32"/>
          <w:highlight w:val="none"/>
          <w:lang w:val="en-GB"/>
        </w:rPr>
        <w:t>（</w:t>
      </w:r>
      <w:r>
        <w:rPr>
          <w:rFonts w:ascii="Times New Roman" w:hAnsi="Times New Roman" w:eastAsia="仿宋_GB2312" w:cs="Times New Roman"/>
          <w:color w:val="auto"/>
          <w:sz w:val="32"/>
          <w:szCs w:val="32"/>
          <w:highlight w:val="none"/>
        </w:rPr>
        <w:t>1</w:t>
      </w:r>
      <w:r>
        <w:rPr>
          <w:rFonts w:ascii="Times New Roman" w:hAnsi="Times New Roman" w:eastAsia="仿宋_GB2312" w:cs="Times New Roman"/>
          <w:color w:val="auto"/>
          <w:sz w:val="32"/>
          <w:szCs w:val="32"/>
          <w:highlight w:val="none"/>
          <w:lang w:val="en-GB"/>
        </w:rPr>
        <w:t>）重点方向</w:t>
      </w:r>
    </w:p>
    <w:p>
      <w:pPr>
        <w:pageBreakBefore w:val="0"/>
        <w:widowControl w:val="0"/>
        <w:kinsoku/>
        <w:wordWrap/>
        <w:overflowPunct/>
        <w:topLinePunct w:val="0"/>
        <w:bidi w:val="0"/>
        <w:spacing w:beforeLines="0" w:afterLines="0" w:line="580" w:lineRule="exact"/>
        <w:ind w:firstLine="643"/>
        <w:textAlignment w:val="auto"/>
        <w:rPr>
          <w:b/>
          <w:color w:val="auto"/>
          <w:highlight w:val="none"/>
        </w:rPr>
      </w:pPr>
      <w:r>
        <w:rPr>
          <w:b/>
          <w:color w:val="auto"/>
          <w:highlight w:val="none"/>
        </w:rPr>
        <w:t>电路类元器件。</w:t>
      </w:r>
      <w:r>
        <w:rPr>
          <w:bCs/>
          <w:color w:val="auto"/>
          <w:highlight w:val="none"/>
        </w:rPr>
        <w:t>针对新一代智能终端产品发展需求，发展新型片式化、小型化、集成化、高端器件，柔性可拉伸器件。充分发挥龙旗、华勤等整机企业的需求导向作用，围绕整机配套调整元器件产品结构，提高电阻器、电容器、电感器、变压器、继电器等产品的研发生产能力和集中度。</w:t>
      </w:r>
    </w:p>
    <w:p>
      <w:pPr>
        <w:pageBreakBefore w:val="0"/>
        <w:widowControl w:val="0"/>
        <w:kinsoku/>
        <w:wordWrap/>
        <w:overflowPunct/>
        <w:topLinePunct w:val="0"/>
        <w:bidi w:val="0"/>
        <w:spacing w:beforeLines="0" w:afterLines="0" w:line="580" w:lineRule="exact"/>
        <w:ind w:firstLine="643"/>
        <w:textAlignment w:val="auto"/>
        <w:rPr>
          <w:b/>
          <w:color w:val="auto"/>
          <w:highlight w:val="none"/>
        </w:rPr>
      </w:pPr>
      <w:r>
        <w:rPr>
          <w:b/>
          <w:color w:val="auto"/>
          <w:highlight w:val="none"/>
        </w:rPr>
        <w:t>连接类元器件。</w:t>
      </w:r>
      <w:r>
        <w:rPr>
          <w:bCs/>
          <w:color w:val="auto"/>
          <w:highlight w:val="none"/>
        </w:rPr>
        <w:t>更新电路板制作工艺，研发高可靠性、高品质的印刷方法、喷墨PCB工艺和利用纳米技术的新型制造挠性板工艺方法。加强高密度互连板（HDI）、特种印刷电路板的产业化，研发印制电子技术和光电印制板并推广应用。</w:t>
      </w:r>
    </w:p>
    <w:p>
      <w:pPr>
        <w:pageBreakBefore w:val="0"/>
        <w:widowControl w:val="0"/>
        <w:kinsoku/>
        <w:wordWrap/>
        <w:overflowPunct/>
        <w:topLinePunct w:val="0"/>
        <w:bidi w:val="0"/>
        <w:spacing w:beforeLines="0" w:afterLines="0" w:line="580" w:lineRule="exact"/>
        <w:ind w:firstLine="643"/>
        <w:textAlignment w:val="auto"/>
        <w:rPr>
          <w:bCs/>
          <w:color w:val="auto"/>
          <w:highlight w:val="none"/>
        </w:rPr>
      </w:pPr>
      <w:r>
        <w:rPr>
          <w:b/>
          <w:color w:val="auto"/>
          <w:highlight w:val="none"/>
        </w:rPr>
        <w:t>光电子元器件。</w:t>
      </w:r>
      <w:r>
        <w:rPr>
          <w:bCs/>
          <w:color w:val="auto"/>
          <w:highlight w:val="none"/>
        </w:rPr>
        <w:t>依托南昌光谷基础，以硅衬底LED技术为主线，积极发展蓝宝石、碳化硅衬底LED产品，着力突破分子束外延技术、芯片级封装技术、功率型封装技术、直接镀铜基板技术、陶瓷基板技术等关键技术瓶颈。依托迅特通信，研发硅基光电子芯片与子系统。</w:t>
      </w:r>
    </w:p>
    <w:p>
      <w:pPr>
        <w:pageBreakBefore w:val="0"/>
        <w:widowControl w:val="0"/>
        <w:kinsoku/>
        <w:wordWrap/>
        <w:overflowPunct/>
        <w:topLinePunct w:val="0"/>
        <w:bidi w:val="0"/>
        <w:spacing w:beforeLines="0" w:afterLines="0" w:line="580" w:lineRule="exact"/>
        <w:ind w:firstLine="643"/>
        <w:textAlignment w:val="auto"/>
        <w:rPr>
          <w:b/>
          <w:color w:val="auto"/>
          <w:highlight w:val="none"/>
        </w:rPr>
      </w:pPr>
      <w:r>
        <w:rPr>
          <w:b/>
          <w:color w:val="auto"/>
          <w:highlight w:val="none"/>
        </w:rPr>
        <w:t>传感类元器件。</w:t>
      </w:r>
      <w:r>
        <w:rPr>
          <w:bCs/>
          <w:color w:val="auto"/>
          <w:highlight w:val="none"/>
        </w:rPr>
        <w:t>面向智能网联汽车，发展各波段雷达（激光、厘米波、毫米波、超声波）、摄像头等。面向物联网，研发基于不同应用对象的超高频和微波频段射频识别标签（RFID）的低成本、远距离、大容量、高可靠性技术。</w:t>
      </w:r>
    </w:p>
    <w:p>
      <w:pPr>
        <w:pageBreakBefore w:val="0"/>
        <w:widowControl w:val="0"/>
        <w:kinsoku/>
        <w:wordWrap/>
        <w:overflowPunct/>
        <w:topLinePunct w:val="0"/>
        <w:bidi w:val="0"/>
        <w:spacing w:beforeLines="0" w:afterLines="0" w:line="580" w:lineRule="exact"/>
        <w:ind w:firstLine="643"/>
        <w:textAlignment w:val="auto"/>
        <w:rPr>
          <w:b/>
          <w:color w:val="auto"/>
          <w:highlight w:val="none"/>
        </w:rPr>
      </w:pPr>
      <w:r>
        <w:rPr>
          <w:b/>
          <w:color w:val="auto"/>
          <w:highlight w:val="none"/>
        </w:rPr>
        <w:t>电池电源。</w:t>
      </w:r>
      <w:r>
        <w:rPr>
          <w:bCs/>
          <w:color w:val="auto"/>
          <w:highlight w:val="none"/>
        </w:rPr>
        <w:t>发展柔性电池、快速充电等技术和装置，加快超级电容电池、锂硫电池等产品研发和产业化。围绕电池组装发展导电剂、粘接剂等配套环节。推动无线充电平台与无线充电接收器的研发和产业化。</w:t>
      </w:r>
    </w:p>
    <w:p>
      <w:pPr>
        <w:pStyle w:val="7"/>
        <w:pageBreakBefore w:val="0"/>
        <w:widowControl w:val="0"/>
        <w:kinsoku/>
        <w:wordWrap/>
        <w:overflowPunct/>
        <w:topLinePunct w:val="0"/>
        <w:bidi w:val="0"/>
        <w:spacing w:before="0" w:beforeLines="0" w:after="0" w:afterLines="0" w:line="580" w:lineRule="exact"/>
        <w:ind w:firstLine="643"/>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lang w:val="en-GB"/>
        </w:rPr>
        <w:t>（</w:t>
      </w:r>
      <w:r>
        <w:rPr>
          <w:rFonts w:ascii="Times New Roman" w:hAnsi="Times New Roman" w:eastAsia="仿宋_GB2312" w:cs="Times New Roman"/>
          <w:color w:val="auto"/>
          <w:sz w:val="32"/>
          <w:szCs w:val="32"/>
          <w:highlight w:val="none"/>
        </w:rPr>
        <w:t>2</w:t>
      </w:r>
      <w:r>
        <w:rPr>
          <w:rFonts w:ascii="Times New Roman" w:hAnsi="Times New Roman" w:eastAsia="仿宋_GB2312" w:cs="Times New Roman"/>
          <w:color w:val="auto"/>
          <w:sz w:val="32"/>
          <w:szCs w:val="32"/>
          <w:highlight w:val="none"/>
          <w:lang w:val="en-GB"/>
        </w:rPr>
        <w:t>）</w:t>
      </w:r>
      <w:r>
        <w:rPr>
          <w:rFonts w:ascii="Times New Roman" w:hAnsi="Times New Roman" w:eastAsia="仿宋_GB2312" w:cs="Times New Roman"/>
          <w:color w:val="auto"/>
          <w:sz w:val="32"/>
          <w:szCs w:val="32"/>
          <w:highlight w:val="none"/>
        </w:rPr>
        <w:t>发展路径</w:t>
      </w:r>
    </w:p>
    <w:p>
      <w:pPr>
        <w:pageBreakBefore w:val="0"/>
        <w:widowControl w:val="0"/>
        <w:kinsoku/>
        <w:wordWrap/>
        <w:overflowPunct/>
        <w:topLinePunct w:val="0"/>
        <w:bidi w:val="0"/>
        <w:spacing w:beforeLines="0" w:afterLines="0" w:line="580" w:lineRule="exact"/>
        <w:textAlignment w:val="auto"/>
        <w:rPr>
          <w:bCs/>
          <w:color w:val="auto"/>
          <w:highlight w:val="none"/>
        </w:rPr>
      </w:pPr>
      <w:r>
        <w:rPr>
          <w:bCs/>
          <w:color w:val="auto"/>
          <w:highlight w:val="none"/>
        </w:rPr>
        <w:t>重点围绕移动智能终端、</w:t>
      </w:r>
      <w:r>
        <w:rPr>
          <w:rFonts w:hint="eastAsia"/>
          <w:bCs/>
          <w:color w:val="auto"/>
          <w:highlight w:val="none"/>
        </w:rPr>
        <w:t>LED、VR等重点</w:t>
      </w:r>
      <w:r>
        <w:rPr>
          <w:bCs/>
          <w:color w:val="auto"/>
          <w:highlight w:val="none"/>
        </w:rPr>
        <w:t>方向，吸引与之相配套的元器件企业入驻，形成电子元器件产业优势集群。凭借集群优势，进一步吸引其他客户订单，壮大本地中小企业规模，培育一批创新能力强、掌握核心技术的“专、精、特、新”中小企业，逐步成长为专业细分领域的单项冠军，最终形成本地化的高质量产业集群。</w:t>
      </w:r>
    </w:p>
    <w:p>
      <w:pPr>
        <w:pStyle w:val="7"/>
        <w:pageBreakBefore w:val="0"/>
        <w:widowControl w:val="0"/>
        <w:kinsoku/>
        <w:wordWrap/>
        <w:overflowPunct/>
        <w:topLinePunct w:val="0"/>
        <w:bidi w:val="0"/>
        <w:spacing w:before="0" w:beforeLines="0" w:after="0" w:afterLines="0" w:line="580" w:lineRule="exact"/>
        <w:ind w:firstLine="643"/>
        <w:textAlignment w:val="auto"/>
        <w:rPr>
          <w:rFonts w:ascii="Times New Roman" w:hAnsi="Times New Roman" w:eastAsia="仿宋_GB2312" w:cs="Times New Roman"/>
          <w:color w:val="auto"/>
          <w:sz w:val="32"/>
          <w:szCs w:val="32"/>
          <w:highlight w:val="none"/>
          <w:lang w:val="en-GB"/>
        </w:rPr>
      </w:pPr>
      <w:r>
        <w:rPr>
          <w:rFonts w:ascii="Times New Roman" w:hAnsi="Times New Roman" w:eastAsia="仿宋_GB2312" w:cs="Times New Roman"/>
          <w:color w:val="auto"/>
          <w:sz w:val="32"/>
          <w:szCs w:val="32"/>
          <w:highlight w:val="none"/>
          <w:lang w:val="en-GB"/>
        </w:rPr>
        <w:t>（</w:t>
      </w:r>
      <w:r>
        <w:rPr>
          <w:rFonts w:ascii="Times New Roman" w:hAnsi="Times New Roman" w:eastAsia="仿宋_GB2312" w:cs="Times New Roman"/>
          <w:color w:val="auto"/>
          <w:sz w:val="32"/>
          <w:szCs w:val="32"/>
          <w:highlight w:val="none"/>
        </w:rPr>
        <w:t>3</w:t>
      </w:r>
      <w:r>
        <w:rPr>
          <w:rFonts w:ascii="Times New Roman" w:hAnsi="Times New Roman" w:eastAsia="仿宋_GB2312" w:cs="Times New Roman"/>
          <w:color w:val="auto"/>
          <w:sz w:val="32"/>
          <w:szCs w:val="32"/>
          <w:highlight w:val="none"/>
          <w:lang w:val="en-GB"/>
        </w:rPr>
        <w:t>）重点企业</w:t>
      </w:r>
    </w:p>
    <w:p>
      <w:pPr>
        <w:pageBreakBefore w:val="0"/>
        <w:widowControl w:val="0"/>
        <w:kinsoku/>
        <w:wordWrap/>
        <w:overflowPunct/>
        <w:topLinePunct w:val="0"/>
        <w:bidi w:val="0"/>
        <w:spacing w:beforeLines="0" w:afterLines="0" w:line="580" w:lineRule="exact"/>
        <w:ind w:firstLine="643"/>
        <w:textAlignment w:val="auto"/>
        <w:rPr>
          <w:bCs/>
          <w:color w:val="auto"/>
          <w:highlight w:val="none"/>
        </w:rPr>
      </w:pPr>
      <w:r>
        <w:rPr>
          <w:b/>
          <w:color w:val="auto"/>
          <w:highlight w:val="none"/>
        </w:rPr>
        <w:t>重点引进企业</w:t>
      </w:r>
      <w:r>
        <w:rPr>
          <w:bCs/>
          <w:color w:val="auto"/>
          <w:highlight w:val="none"/>
        </w:rPr>
        <w:t>。重点引进瑞声、歌尔、生益科技、立讯精密、横店东磁、比亚迪、风华高科、华工科技、海信宽带、光迅科技、昂纳科技、太辰光、天孚通信、东山精密、迅达科技等国内企业，积极与住友、安华高、Neo</w:t>
      </w:r>
      <w:r>
        <w:rPr>
          <w:rFonts w:hint="eastAsia"/>
          <w:bCs/>
          <w:color w:val="auto"/>
          <w:highlight w:val="none"/>
          <w:lang w:val="en-US" w:eastAsia="zh-CN"/>
        </w:rPr>
        <w:t xml:space="preserve"> </w:t>
      </w:r>
      <w:r>
        <w:rPr>
          <w:bCs/>
          <w:color w:val="auto"/>
          <w:highlight w:val="none"/>
        </w:rPr>
        <w:t>Photonics、Finisar、Lumentum等国际龙头企业合作交流。</w:t>
      </w:r>
    </w:p>
    <w:p>
      <w:pPr>
        <w:pStyle w:val="6"/>
        <w:pageBreakBefore w:val="0"/>
        <w:widowControl w:val="0"/>
        <w:kinsoku/>
        <w:wordWrap/>
        <w:overflowPunct/>
        <w:topLinePunct w:val="0"/>
        <w:bidi w:val="0"/>
        <w:spacing w:before="0" w:beforeLines="0" w:after="0" w:afterLines="0" w:line="580" w:lineRule="exact"/>
        <w:textAlignment w:val="auto"/>
        <w:rPr>
          <w:bCs w:val="0"/>
          <w:color w:val="auto"/>
          <w:highlight w:val="none"/>
        </w:rPr>
      </w:pPr>
      <w:bookmarkStart w:id="106" w:name="_Toc315488715"/>
      <w:bookmarkStart w:id="107" w:name="_Toc88257144"/>
      <w:r>
        <w:rPr>
          <w:bCs w:val="0"/>
          <w:color w:val="auto"/>
          <w:highlight w:val="none"/>
        </w:rPr>
        <w:t>4、集成电路</w:t>
      </w:r>
      <w:bookmarkEnd w:id="106"/>
      <w:bookmarkEnd w:id="107"/>
    </w:p>
    <w:p>
      <w:pPr>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lang w:val="en-GB"/>
        </w:rPr>
      </w:pPr>
      <w:r>
        <w:rPr>
          <w:b/>
          <w:bCs/>
          <w:color w:val="auto"/>
          <w:highlight w:val="none"/>
          <w:lang w:val="en-GB"/>
        </w:rPr>
        <w:t>（</w:t>
      </w:r>
      <w:r>
        <w:rPr>
          <w:b/>
          <w:bCs/>
          <w:color w:val="auto"/>
          <w:highlight w:val="none"/>
        </w:rPr>
        <w:t>1</w:t>
      </w:r>
      <w:r>
        <w:rPr>
          <w:b/>
          <w:bCs/>
          <w:color w:val="auto"/>
          <w:highlight w:val="none"/>
          <w:lang w:val="en-GB"/>
        </w:rPr>
        <w:t>）重点方向</w:t>
      </w:r>
    </w:p>
    <w:p>
      <w:pPr>
        <w:pageBreakBefore w:val="0"/>
        <w:widowControl w:val="0"/>
        <w:kinsoku/>
        <w:wordWrap/>
        <w:overflowPunct/>
        <w:topLinePunct w:val="0"/>
        <w:bidi w:val="0"/>
        <w:spacing w:beforeLines="0" w:afterLines="0" w:line="580" w:lineRule="exact"/>
        <w:ind w:firstLine="643"/>
        <w:textAlignment w:val="auto"/>
        <w:rPr>
          <w:color w:val="auto"/>
          <w:highlight w:val="none"/>
          <w:lang w:val="en-GB"/>
        </w:rPr>
      </w:pPr>
      <w:r>
        <w:rPr>
          <w:b/>
          <w:color w:val="auto"/>
          <w:highlight w:val="none"/>
        </w:rPr>
        <w:t>承接区域</w:t>
      </w:r>
      <w:r>
        <w:rPr>
          <w:b/>
          <w:color w:val="auto"/>
          <w:highlight w:val="none"/>
          <w:lang w:val="en-GB"/>
        </w:rPr>
        <w:t>集成电路封测</w:t>
      </w:r>
      <w:r>
        <w:rPr>
          <w:b/>
          <w:color w:val="auto"/>
          <w:highlight w:val="none"/>
        </w:rPr>
        <w:t>产业链</w:t>
      </w:r>
      <w:r>
        <w:rPr>
          <w:b/>
          <w:color w:val="auto"/>
          <w:highlight w:val="none"/>
          <w:lang w:val="en-GB"/>
        </w:rPr>
        <w:t>。</w:t>
      </w:r>
      <w:r>
        <w:rPr>
          <w:color w:val="auto"/>
          <w:highlight w:val="none"/>
          <w:lang w:val="en-GB"/>
        </w:rPr>
        <w:t>积极承接长三角地区、</w:t>
      </w:r>
      <w:r>
        <w:rPr>
          <w:rFonts w:hint="eastAsia"/>
          <w:color w:val="auto"/>
          <w:highlight w:val="none"/>
          <w:lang w:val="en-GB"/>
        </w:rPr>
        <w:t>粤港澳大湾区</w:t>
      </w:r>
      <w:r>
        <w:rPr>
          <w:color w:val="auto"/>
          <w:highlight w:val="none"/>
          <w:lang w:val="en-GB"/>
        </w:rPr>
        <w:t>封测业转移，加快封测配套能力建设，推动封装工艺技术升级和产能扩充，提高测试技术水平和产业规模。</w:t>
      </w:r>
    </w:p>
    <w:p>
      <w:pPr>
        <w:pageBreakBefore w:val="0"/>
        <w:widowControl w:val="0"/>
        <w:kinsoku/>
        <w:wordWrap/>
        <w:overflowPunct/>
        <w:topLinePunct w:val="0"/>
        <w:bidi w:val="0"/>
        <w:spacing w:beforeLines="0" w:afterLines="0" w:line="580" w:lineRule="exact"/>
        <w:ind w:firstLine="643"/>
        <w:textAlignment w:val="auto"/>
        <w:rPr>
          <w:color w:val="auto"/>
          <w:highlight w:val="none"/>
          <w:lang w:val="en-GB"/>
        </w:rPr>
      </w:pPr>
      <w:r>
        <w:rPr>
          <w:b/>
          <w:color w:val="auto"/>
          <w:highlight w:val="none"/>
        </w:rPr>
        <w:t>打造</w:t>
      </w:r>
      <w:r>
        <w:rPr>
          <w:b/>
          <w:color w:val="auto"/>
          <w:highlight w:val="none"/>
          <w:lang w:val="en-GB"/>
        </w:rPr>
        <w:t>集成电路制造</w:t>
      </w:r>
      <w:r>
        <w:rPr>
          <w:b/>
          <w:color w:val="auto"/>
          <w:highlight w:val="none"/>
        </w:rPr>
        <w:t>能力</w:t>
      </w:r>
      <w:r>
        <w:rPr>
          <w:b/>
          <w:color w:val="auto"/>
          <w:highlight w:val="none"/>
          <w:lang w:val="en-GB"/>
        </w:rPr>
        <w:t>。</w:t>
      </w:r>
      <w:r>
        <w:rPr>
          <w:color w:val="auto"/>
          <w:highlight w:val="none"/>
          <w:lang w:val="en-GB"/>
        </w:rPr>
        <w:t>发挥南昌市半导体照明产业优势，依托国家硅基LED工程技术研究中心等机构，发展</w:t>
      </w:r>
      <w:r>
        <w:rPr>
          <w:rFonts w:hint="eastAsia"/>
          <w:color w:val="auto"/>
          <w:highlight w:val="none"/>
          <w:lang w:val="en-GB"/>
        </w:rPr>
        <w:t>氮化镓</w:t>
      </w:r>
      <w:r>
        <w:rPr>
          <w:color w:val="auto"/>
          <w:highlight w:val="none"/>
          <w:lang w:val="en-GB"/>
        </w:rPr>
        <w:t>LED、硅基LED等芯片产品。支持紫微半导体、中南实业、武汉敏声等企业，发展面向5G、物联网、汽车电子等领域的射频滤波MEMS芯片、无线充电芯片、低功耗蓝牙芯片、触控芯片、触控显示整合芯片等产品。积极对接台积电、中芯国际等知名企业，积极引入8英寸/12英寸等特色工艺晶圆代工生产线项目，加快技术升级和产能扩充。</w:t>
      </w:r>
    </w:p>
    <w:p>
      <w:pPr>
        <w:pageBreakBefore w:val="0"/>
        <w:widowControl w:val="0"/>
        <w:kinsoku/>
        <w:wordWrap/>
        <w:overflowPunct/>
        <w:topLinePunct w:val="0"/>
        <w:bidi w:val="0"/>
        <w:spacing w:beforeLines="0" w:afterLines="0" w:line="580" w:lineRule="exact"/>
        <w:ind w:firstLine="643"/>
        <w:textAlignment w:val="auto"/>
        <w:rPr>
          <w:color w:val="auto"/>
          <w:highlight w:val="none"/>
          <w:lang w:val="en-GB"/>
        </w:rPr>
      </w:pPr>
      <w:r>
        <w:rPr>
          <w:b/>
          <w:color w:val="auto"/>
          <w:highlight w:val="none"/>
        </w:rPr>
        <w:t>提升</w:t>
      </w:r>
      <w:r>
        <w:rPr>
          <w:b/>
          <w:color w:val="auto"/>
          <w:highlight w:val="none"/>
          <w:lang w:val="en-GB"/>
        </w:rPr>
        <w:t>材料和装备</w:t>
      </w:r>
      <w:r>
        <w:rPr>
          <w:b/>
          <w:color w:val="auto"/>
          <w:highlight w:val="none"/>
        </w:rPr>
        <w:t>配套水平</w:t>
      </w:r>
      <w:r>
        <w:rPr>
          <w:b/>
          <w:color w:val="auto"/>
          <w:highlight w:val="none"/>
          <w:lang w:val="en-GB"/>
        </w:rPr>
        <w:t>。</w:t>
      </w:r>
      <w:r>
        <w:rPr>
          <w:color w:val="auto"/>
          <w:highlight w:val="none"/>
          <w:lang w:val="en-GB"/>
        </w:rPr>
        <w:t>发挥南昌市新材料产业优势，重点开发应用于新能源汽车、移动通信等领域的第三代半导体材料。开发碳化硅材料、氧化锌材料、氧化铝等关键材料，以及陶瓷封装材料、铁电薄膜材料、铝碳化硅基板、氮化铝覆铜板、电子级硅胶、硅橡胶等材料。支持中微半导体等企业发展刻蚀机、PVD、CVD、清洗设备等装备制造。</w:t>
      </w:r>
    </w:p>
    <w:p>
      <w:pPr>
        <w:pageBreakBefore w:val="0"/>
        <w:widowControl w:val="0"/>
        <w:kinsoku/>
        <w:wordWrap/>
        <w:overflowPunct/>
        <w:topLinePunct w:val="0"/>
        <w:bidi w:val="0"/>
        <w:spacing w:beforeLines="0" w:afterLines="0" w:line="580" w:lineRule="exact"/>
        <w:ind w:firstLine="643"/>
        <w:textAlignment w:val="auto"/>
        <w:rPr>
          <w:color w:val="auto"/>
          <w:highlight w:val="none"/>
          <w:lang w:val="en-GB"/>
        </w:rPr>
      </w:pPr>
      <w:r>
        <w:rPr>
          <w:b/>
          <w:color w:val="auto"/>
          <w:highlight w:val="none"/>
        </w:rPr>
        <w:t>形成</w:t>
      </w:r>
      <w:r>
        <w:rPr>
          <w:b/>
          <w:color w:val="auto"/>
          <w:highlight w:val="none"/>
          <w:lang w:val="en-GB"/>
        </w:rPr>
        <w:t>集成电路设计</w:t>
      </w:r>
      <w:r>
        <w:rPr>
          <w:b/>
          <w:color w:val="auto"/>
          <w:highlight w:val="none"/>
        </w:rPr>
        <w:t>能力</w:t>
      </w:r>
      <w:r>
        <w:rPr>
          <w:b/>
          <w:color w:val="auto"/>
          <w:highlight w:val="none"/>
          <w:lang w:val="en-GB"/>
        </w:rPr>
        <w:t>。</w:t>
      </w:r>
      <w:r>
        <w:rPr>
          <w:color w:val="auto"/>
          <w:highlight w:val="none"/>
          <w:lang w:val="en-GB"/>
        </w:rPr>
        <w:t>拓展先进集成电路设计领域，积极引进</w:t>
      </w:r>
      <w:r>
        <w:rPr>
          <w:rFonts w:hint="eastAsia"/>
          <w:color w:val="auto"/>
          <w:highlight w:val="none"/>
          <w:lang w:val="en-GB"/>
        </w:rPr>
        <w:t>优质</w:t>
      </w:r>
      <w:r>
        <w:rPr>
          <w:color w:val="auto"/>
          <w:highlight w:val="none"/>
          <w:lang w:val="en-GB"/>
        </w:rPr>
        <w:t>企业，不断壮大本地芯片设计能力。主要发展无线充电芯片、低功耗蓝牙芯片、触控芯片、触控显示芯片等产品设计。</w:t>
      </w:r>
    </w:p>
    <w:p>
      <w:pPr>
        <w:pageBreakBefore w:val="0"/>
        <w:widowControl w:val="0"/>
        <w:kinsoku/>
        <w:wordWrap/>
        <w:overflowPunct/>
        <w:topLinePunct w:val="0"/>
        <w:bidi w:val="0"/>
        <w:spacing w:beforeLines="0" w:afterLines="0" w:line="580" w:lineRule="exact"/>
        <w:ind w:firstLine="643"/>
        <w:textAlignment w:val="auto"/>
        <w:rPr>
          <w:color w:val="auto"/>
          <w:highlight w:val="none"/>
          <w:lang w:val="en-GB"/>
        </w:rPr>
      </w:pPr>
      <w:r>
        <w:rPr>
          <w:b/>
          <w:color w:val="auto"/>
          <w:highlight w:val="none"/>
        </w:rPr>
        <w:t>打造多级集成电路</w:t>
      </w:r>
      <w:r>
        <w:rPr>
          <w:b/>
          <w:color w:val="auto"/>
          <w:highlight w:val="none"/>
          <w:lang w:val="en-GB"/>
        </w:rPr>
        <w:t>公共服务平台。</w:t>
      </w:r>
      <w:r>
        <w:rPr>
          <w:color w:val="auto"/>
          <w:highlight w:val="none"/>
          <w:lang w:val="en-GB"/>
        </w:rPr>
        <w:t>以园区牵头、企业参与、高校支撑、市场化运营的模式，推动搭建南昌市集成电路产学研用协同创新实践平台、南昌高新区IC产业孵化基地，支持集成电路领域“双创”发展和人才队伍建设。</w:t>
      </w:r>
    </w:p>
    <w:p>
      <w:pPr>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rPr>
      </w:pPr>
      <w:r>
        <w:rPr>
          <w:b/>
          <w:bCs/>
          <w:color w:val="auto"/>
          <w:highlight w:val="none"/>
          <w:lang w:val="en-GB"/>
        </w:rPr>
        <w:t>（</w:t>
      </w:r>
      <w:r>
        <w:rPr>
          <w:b/>
          <w:bCs/>
          <w:color w:val="auto"/>
          <w:highlight w:val="none"/>
        </w:rPr>
        <w:t>2</w:t>
      </w:r>
      <w:r>
        <w:rPr>
          <w:b/>
          <w:bCs/>
          <w:color w:val="auto"/>
          <w:highlight w:val="none"/>
          <w:lang w:val="en-GB"/>
        </w:rPr>
        <w:t>）</w:t>
      </w:r>
      <w:r>
        <w:rPr>
          <w:b/>
          <w:bCs/>
          <w:color w:val="auto"/>
          <w:highlight w:val="none"/>
        </w:rPr>
        <w:t>发展路径</w:t>
      </w:r>
    </w:p>
    <w:p>
      <w:pPr>
        <w:pageBreakBefore w:val="0"/>
        <w:widowControl w:val="0"/>
        <w:kinsoku/>
        <w:wordWrap/>
        <w:overflowPunct/>
        <w:topLinePunct w:val="0"/>
        <w:bidi w:val="0"/>
        <w:spacing w:beforeLines="0" w:afterLines="0" w:line="580" w:lineRule="exact"/>
        <w:textAlignment w:val="auto"/>
        <w:rPr>
          <w:color w:val="auto"/>
          <w:highlight w:val="none"/>
        </w:rPr>
      </w:pPr>
      <w:r>
        <w:rPr>
          <w:color w:val="auto"/>
          <w:highlight w:val="none"/>
          <w:lang w:val="en-GB"/>
        </w:rPr>
        <w:t>积极承接长三角地区、</w:t>
      </w:r>
      <w:r>
        <w:rPr>
          <w:rFonts w:hint="eastAsia"/>
          <w:color w:val="auto"/>
          <w:highlight w:val="none"/>
          <w:lang w:val="en-GB"/>
        </w:rPr>
        <w:t>粤港澳</w:t>
      </w:r>
      <w:r>
        <w:rPr>
          <w:color w:val="auto"/>
          <w:highlight w:val="none"/>
          <w:lang w:val="en-GB"/>
        </w:rPr>
        <w:t>大湾区</w:t>
      </w:r>
      <w:r>
        <w:rPr>
          <w:color w:val="auto"/>
          <w:highlight w:val="none"/>
        </w:rPr>
        <w:t>集成电路</w:t>
      </w:r>
      <w:r>
        <w:rPr>
          <w:color w:val="auto"/>
          <w:highlight w:val="none"/>
          <w:lang w:val="en-GB"/>
        </w:rPr>
        <w:t>封测业转移，</w:t>
      </w:r>
      <w:r>
        <w:rPr>
          <w:color w:val="auto"/>
          <w:highlight w:val="none"/>
        </w:rPr>
        <w:t>做大做强封测业规模，以封测业向上游制造业、设计业全产业链发展，利用基础电子产业优势</w:t>
      </w:r>
      <w:r>
        <w:rPr>
          <w:color w:val="auto"/>
          <w:highlight w:val="none"/>
          <w:lang w:val="en-GB"/>
        </w:rPr>
        <w:t>支持企业</w:t>
      </w:r>
      <w:r>
        <w:rPr>
          <w:color w:val="auto"/>
          <w:highlight w:val="none"/>
        </w:rPr>
        <w:t>向</w:t>
      </w:r>
      <w:r>
        <w:rPr>
          <w:color w:val="auto"/>
          <w:highlight w:val="none"/>
          <w:lang w:val="en-GB"/>
        </w:rPr>
        <w:t>半导体材料和集成电路装备</w:t>
      </w:r>
      <w:r>
        <w:rPr>
          <w:color w:val="auto"/>
          <w:highlight w:val="none"/>
        </w:rPr>
        <w:t>领域发展</w:t>
      </w:r>
      <w:r>
        <w:rPr>
          <w:color w:val="auto"/>
          <w:highlight w:val="none"/>
          <w:lang w:val="en-GB"/>
        </w:rPr>
        <w:t>，</w:t>
      </w:r>
      <w:r>
        <w:rPr>
          <w:color w:val="auto"/>
          <w:highlight w:val="none"/>
        </w:rPr>
        <w:t>逐步打造封测—制造/设计—材料/设备的完整产业链。</w:t>
      </w:r>
    </w:p>
    <w:p>
      <w:pPr>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lang w:val="en-GB"/>
        </w:rPr>
      </w:pPr>
      <w:r>
        <w:rPr>
          <w:b/>
          <w:bCs/>
          <w:color w:val="auto"/>
          <w:highlight w:val="none"/>
          <w:lang w:val="en-GB"/>
        </w:rPr>
        <w:t>（</w:t>
      </w:r>
      <w:r>
        <w:rPr>
          <w:b/>
          <w:bCs/>
          <w:color w:val="auto"/>
          <w:highlight w:val="none"/>
        </w:rPr>
        <w:t>3</w:t>
      </w:r>
      <w:r>
        <w:rPr>
          <w:b/>
          <w:bCs/>
          <w:color w:val="auto"/>
          <w:highlight w:val="none"/>
          <w:lang w:val="en-GB"/>
        </w:rPr>
        <w:t>）重点企业</w:t>
      </w:r>
    </w:p>
    <w:p>
      <w:pPr>
        <w:pageBreakBefore w:val="0"/>
        <w:widowControl w:val="0"/>
        <w:kinsoku/>
        <w:wordWrap/>
        <w:overflowPunct/>
        <w:topLinePunct w:val="0"/>
        <w:bidi w:val="0"/>
        <w:spacing w:beforeLines="0" w:afterLines="0" w:line="580" w:lineRule="exact"/>
        <w:ind w:firstLine="643"/>
        <w:textAlignment w:val="auto"/>
        <w:rPr>
          <w:b/>
          <w:color w:val="auto"/>
          <w:highlight w:val="none"/>
          <w:lang w:val="en-GB"/>
        </w:rPr>
      </w:pPr>
      <w:r>
        <w:rPr>
          <w:b/>
          <w:color w:val="auto"/>
          <w:highlight w:val="none"/>
          <w:lang w:val="en-GB"/>
        </w:rPr>
        <w:t>重点引进企业。封装测试领域</w:t>
      </w:r>
      <w:r>
        <w:rPr>
          <w:color w:val="auto"/>
          <w:highlight w:val="none"/>
          <w:lang w:val="en-GB"/>
        </w:rPr>
        <w:t>，引进长电科技、通富微电、华天科技、欣中科技、华润封测、甬矽电子、苏州晶方、池州华宇、苏州科阳、利扬芯片等企业。</w:t>
      </w:r>
      <w:r>
        <w:rPr>
          <w:b/>
          <w:color w:val="auto"/>
          <w:highlight w:val="none"/>
          <w:lang w:val="en-GB"/>
        </w:rPr>
        <w:t>芯片制造领域</w:t>
      </w:r>
      <w:r>
        <w:rPr>
          <w:color w:val="auto"/>
          <w:highlight w:val="none"/>
          <w:lang w:val="en-GB"/>
        </w:rPr>
        <w:t>，引进中芯国际、华虹集团、华润微电子、武汉新芯、上海积塔、晶合集成、方正微电子等企业。</w:t>
      </w:r>
      <w:r>
        <w:rPr>
          <w:b/>
          <w:color w:val="auto"/>
          <w:highlight w:val="none"/>
          <w:lang w:val="en-GB"/>
        </w:rPr>
        <w:t>芯片设计领域</w:t>
      </w:r>
      <w:r>
        <w:rPr>
          <w:color w:val="auto"/>
          <w:highlight w:val="none"/>
          <w:lang w:val="en-GB"/>
        </w:rPr>
        <w:t>，引进海思半导体、韦尔半导体、安世半导体、清华紫光展锐、北京智芯微电子、华大半导体、深圳汇顶科技、深圳中兴微、紫光国芯微电子、比特大陆等企业。</w:t>
      </w:r>
    </w:p>
    <w:bookmarkEnd w:id="104"/>
    <w:bookmarkEnd w:id="105"/>
    <w:p>
      <w:pPr>
        <w:pageBreakBefore w:val="0"/>
        <w:widowControl w:val="0"/>
        <w:kinsoku/>
        <w:wordWrap/>
        <w:overflowPunct/>
        <w:topLinePunct w:val="0"/>
        <w:bidi w:val="0"/>
        <w:spacing w:beforeLines="0" w:afterLines="0" w:line="580" w:lineRule="exact"/>
        <w:ind w:firstLine="643"/>
        <w:jc w:val="left"/>
        <w:textAlignment w:val="auto"/>
        <w:outlineLvl w:val="1"/>
        <w:rPr>
          <w:rFonts w:eastAsia="楷体_GB2312"/>
          <w:b/>
          <w:bCs/>
          <w:color w:val="auto"/>
          <w:kern w:val="28"/>
          <w:highlight w:val="none"/>
        </w:rPr>
      </w:pPr>
      <w:bookmarkStart w:id="108" w:name="_Toc88257145"/>
      <w:bookmarkStart w:id="109" w:name="_Toc13553"/>
      <w:bookmarkStart w:id="110" w:name="_Toc340240500"/>
      <w:bookmarkStart w:id="111" w:name="_Toc7292"/>
      <w:r>
        <w:rPr>
          <w:rFonts w:eastAsia="楷体_GB2312"/>
          <w:b/>
          <w:bCs/>
          <w:color w:val="auto"/>
          <w:kern w:val="28"/>
          <w:highlight w:val="none"/>
        </w:rPr>
        <w:t>（三）多点布局前沿热点产业</w:t>
      </w:r>
      <w:bookmarkEnd w:id="108"/>
      <w:bookmarkEnd w:id="109"/>
      <w:bookmarkEnd w:id="110"/>
      <w:bookmarkEnd w:id="111"/>
    </w:p>
    <w:p>
      <w:pPr>
        <w:pageBreakBefore w:val="0"/>
        <w:widowControl w:val="0"/>
        <w:kinsoku/>
        <w:wordWrap/>
        <w:overflowPunct/>
        <w:topLinePunct w:val="0"/>
        <w:bidi w:val="0"/>
        <w:spacing w:beforeLines="0" w:afterLines="0" w:line="580" w:lineRule="exact"/>
        <w:textAlignment w:val="auto"/>
        <w:rPr>
          <w:bCs/>
          <w:color w:val="auto"/>
          <w:highlight w:val="none"/>
        </w:rPr>
      </w:pPr>
      <w:r>
        <w:rPr>
          <w:bCs/>
          <w:color w:val="auto"/>
          <w:highlight w:val="none"/>
        </w:rPr>
        <w:t>抢抓电子信息产业前沿热点领域的发展先机，前瞻布局物联网、人工智能、云计算</w:t>
      </w:r>
      <w:r>
        <w:rPr>
          <w:rFonts w:hint="eastAsia"/>
          <w:bCs/>
          <w:color w:val="auto"/>
          <w:highlight w:val="none"/>
          <w:lang w:val="en-US" w:eastAsia="zh-CN"/>
        </w:rPr>
        <w:t>和</w:t>
      </w:r>
      <w:r>
        <w:rPr>
          <w:bCs/>
          <w:color w:val="auto"/>
          <w:highlight w:val="none"/>
        </w:rPr>
        <w:t>大数据等重点方向。</w:t>
      </w:r>
    </w:p>
    <w:p>
      <w:pPr>
        <w:pStyle w:val="6"/>
        <w:pageBreakBefore w:val="0"/>
        <w:widowControl w:val="0"/>
        <w:kinsoku/>
        <w:wordWrap/>
        <w:overflowPunct/>
        <w:topLinePunct w:val="0"/>
        <w:bidi w:val="0"/>
        <w:spacing w:before="0" w:beforeLines="0" w:after="0" w:afterLines="0" w:line="580" w:lineRule="exact"/>
        <w:textAlignment w:val="auto"/>
        <w:rPr>
          <w:bCs w:val="0"/>
          <w:color w:val="auto"/>
          <w:highlight w:val="none"/>
        </w:rPr>
      </w:pPr>
      <w:bookmarkStart w:id="112" w:name="_Toc88257147"/>
      <w:bookmarkStart w:id="113" w:name="_Toc1240226430"/>
      <w:r>
        <w:rPr>
          <w:rFonts w:hint="eastAsia"/>
          <w:bCs w:val="0"/>
          <w:color w:val="auto"/>
          <w:highlight w:val="none"/>
          <w:lang w:val="en-US" w:eastAsia="zh-CN"/>
        </w:rPr>
        <w:t>1</w:t>
      </w:r>
      <w:r>
        <w:rPr>
          <w:bCs w:val="0"/>
          <w:color w:val="auto"/>
          <w:highlight w:val="none"/>
        </w:rPr>
        <w:t>、物联网</w:t>
      </w:r>
      <w:bookmarkEnd w:id="112"/>
      <w:bookmarkEnd w:id="113"/>
    </w:p>
    <w:p>
      <w:pPr>
        <w:pStyle w:val="7"/>
        <w:pageBreakBefore w:val="0"/>
        <w:widowControl w:val="0"/>
        <w:kinsoku/>
        <w:wordWrap/>
        <w:overflowPunct/>
        <w:topLinePunct w:val="0"/>
        <w:bidi w:val="0"/>
        <w:spacing w:before="0" w:beforeLines="0" w:after="0" w:afterLines="0" w:line="580" w:lineRule="exact"/>
        <w:ind w:firstLine="643"/>
        <w:textAlignment w:val="auto"/>
        <w:rPr>
          <w:rFonts w:ascii="Times New Roman" w:hAnsi="Times New Roman" w:eastAsia="仿宋_GB2312" w:cs="Times New Roman"/>
          <w:color w:val="auto"/>
          <w:sz w:val="32"/>
          <w:szCs w:val="32"/>
          <w:highlight w:val="none"/>
          <w:lang w:val="en-GB"/>
        </w:rPr>
      </w:pPr>
      <w:r>
        <w:rPr>
          <w:rFonts w:ascii="Times New Roman" w:hAnsi="Times New Roman" w:eastAsia="仿宋_GB2312" w:cs="Times New Roman"/>
          <w:color w:val="auto"/>
          <w:sz w:val="32"/>
          <w:szCs w:val="32"/>
          <w:highlight w:val="none"/>
          <w:lang w:val="en-GB"/>
        </w:rPr>
        <w:t>（</w:t>
      </w:r>
      <w:r>
        <w:rPr>
          <w:rFonts w:ascii="Times New Roman" w:hAnsi="Times New Roman" w:eastAsia="仿宋_GB2312" w:cs="Times New Roman"/>
          <w:color w:val="auto"/>
          <w:sz w:val="32"/>
          <w:szCs w:val="32"/>
          <w:highlight w:val="none"/>
        </w:rPr>
        <w:t>1</w:t>
      </w:r>
      <w:r>
        <w:rPr>
          <w:rFonts w:ascii="Times New Roman" w:hAnsi="Times New Roman" w:eastAsia="仿宋_GB2312" w:cs="Times New Roman"/>
          <w:color w:val="auto"/>
          <w:sz w:val="32"/>
          <w:szCs w:val="32"/>
          <w:highlight w:val="none"/>
          <w:lang w:val="en-GB"/>
        </w:rPr>
        <w:t>）重点方向</w:t>
      </w:r>
    </w:p>
    <w:p>
      <w:pPr>
        <w:pageBreakBefore w:val="0"/>
        <w:widowControl w:val="0"/>
        <w:kinsoku/>
        <w:wordWrap/>
        <w:overflowPunct/>
        <w:topLinePunct w:val="0"/>
        <w:bidi w:val="0"/>
        <w:adjustRightInd w:val="0"/>
        <w:snapToGrid w:val="0"/>
        <w:spacing w:beforeLines="0" w:afterLines="0" w:line="580" w:lineRule="exact"/>
        <w:ind w:firstLine="643"/>
        <w:textAlignment w:val="auto"/>
        <w:rPr>
          <w:color w:val="auto"/>
          <w:highlight w:val="none"/>
        </w:rPr>
      </w:pPr>
      <w:r>
        <w:rPr>
          <w:b/>
          <w:bCs/>
          <w:color w:val="auto"/>
          <w:highlight w:val="none"/>
        </w:rPr>
        <w:t>关键元器件</w:t>
      </w:r>
      <w:r>
        <w:rPr>
          <w:color w:val="auto"/>
          <w:highlight w:val="none"/>
        </w:rPr>
        <w:t>。</w:t>
      </w:r>
      <w:r>
        <w:rPr>
          <w:b/>
          <w:bCs/>
          <w:color w:val="auto"/>
          <w:highlight w:val="none"/>
        </w:rPr>
        <w:t>芯片领域</w:t>
      </w:r>
      <w:r>
        <w:rPr>
          <w:color w:val="auto"/>
          <w:highlight w:val="none"/>
        </w:rPr>
        <w:t>，加快RFID芯片、感知芯片、磁电子芯片等关键芯片的研发和攻关，加强数模转换技术研究，提高芯片采集精准度和使用稳定性。</w:t>
      </w:r>
      <w:r>
        <w:rPr>
          <w:b/>
          <w:bCs/>
          <w:color w:val="auto"/>
          <w:highlight w:val="none"/>
        </w:rPr>
        <w:t>传感器领域</w:t>
      </w:r>
      <w:r>
        <w:rPr>
          <w:color w:val="auto"/>
          <w:highlight w:val="none"/>
        </w:rPr>
        <w:t>，大力发展SoC（系统级芯片）安全传感器、加速度、光感、距离、温度、压力以及陀螺仪等传感器件，对一般工业用途、农业和服务业用的量大面广的传统传感器，提高其精度和稳定性；对于特殊环境下的传感器与传感技术系统，提高适应性，延长其在高温、高压、腐蚀、辐射等环境下的使用周期。与人工智能技术相结合，发展具备自校准、自学习、自决策、自适应和自组织的智能传感器，发展支持智能制造、智能机器和智能制造系统发展的智能传感技术系统。</w:t>
      </w:r>
    </w:p>
    <w:p>
      <w:pPr>
        <w:pageBreakBefore w:val="0"/>
        <w:widowControl w:val="0"/>
        <w:kinsoku/>
        <w:wordWrap/>
        <w:overflowPunct/>
        <w:topLinePunct w:val="0"/>
        <w:bidi w:val="0"/>
        <w:adjustRightInd w:val="0"/>
        <w:snapToGrid w:val="0"/>
        <w:spacing w:beforeLines="0" w:afterLines="0" w:line="580" w:lineRule="exact"/>
        <w:ind w:firstLine="643"/>
        <w:textAlignment w:val="auto"/>
        <w:rPr>
          <w:color w:val="auto"/>
          <w:highlight w:val="none"/>
        </w:rPr>
      </w:pPr>
      <w:r>
        <w:rPr>
          <w:b/>
          <w:bCs/>
          <w:color w:val="auto"/>
          <w:highlight w:val="none"/>
        </w:rPr>
        <w:t>行业解决方案</w:t>
      </w:r>
      <w:r>
        <w:rPr>
          <w:color w:val="auto"/>
          <w:highlight w:val="none"/>
        </w:rPr>
        <w:t>。面向智慧城市，优先推进智慧安防、智慧教育、智慧医疗、智慧政务等具有迫切需求的应用场景落地，然后由点及面辐射交通物流、绿色农业、河道监测、食品药品监管等基础领域，最后形成体系化的解决方案。面向南昌市以电子信息制造业为主的特点，重点发展智慧工厂，从产品制造到产品生命周期服务全过程，提供资产管理、运营管理、工程信息化管理、信息安全管理、客户服务管理等，构成实时互通互联的工业物联网。</w:t>
      </w:r>
    </w:p>
    <w:p>
      <w:pPr>
        <w:pStyle w:val="7"/>
        <w:pageBreakBefore w:val="0"/>
        <w:widowControl w:val="0"/>
        <w:kinsoku/>
        <w:wordWrap/>
        <w:overflowPunct/>
        <w:topLinePunct w:val="0"/>
        <w:bidi w:val="0"/>
        <w:spacing w:before="0" w:beforeLines="0" w:after="0" w:afterLines="0" w:line="580" w:lineRule="exact"/>
        <w:ind w:firstLine="643"/>
        <w:textAlignment w:val="auto"/>
        <w:rPr>
          <w:rFonts w:ascii="Times New Roman" w:hAnsi="Times New Roman" w:eastAsia="仿宋_GB2312" w:cs="Times New Roman"/>
          <w:color w:val="auto"/>
          <w:sz w:val="32"/>
          <w:szCs w:val="32"/>
          <w:highlight w:val="none"/>
          <w:lang w:val="en-GB"/>
        </w:rPr>
      </w:pPr>
      <w:r>
        <w:rPr>
          <w:rFonts w:ascii="Times New Roman" w:hAnsi="Times New Roman" w:eastAsia="仿宋_GB2312" w:cs="Times New Roman"/>
          <w:color w:val="auto"/>
          <w:sz w:val="32"/>
          <w:szCs w:val="32"/>
          <w:highlight w:val="none"/>
          <w:lang w:val="en-GB"/>
        </w:rPr>
        <w:t>（2）发展路径</w:t>
      </w:r>
    </w:p>
    <w:p>
      <w:pPr>
        <w:pageBreakBefore w:val="0"/>
        <w:widowControl w:val="0"/>
        <w:kinsoku/>
        <w:wordWrap/>
        <w:overflowPunct/>
        <w:topLinePunct w:val="0"/>
        <w:bidi w:val="0"/>
        <w:adjustRightInd w:val="0"/>
        <w:snapToGrid w:val="0"/>
        <w:spacing w:beforeLines="0" w:afterLines="0" w:line="580" w:lineRule="exact"/>
        <w:textAlignment w:val="auto"/>
        <w:rPr>
          <w:color w:val="auto"/>
          <w:highlight w:val="none"/>
        </w:rPr>
      </w:pPr>
      <w:r>
        <w:rPr>
          <w:color w:val="auto"/>
          <w:highlight w:val="none"/>
        </w:rPr>
        <w:t>加快建设安全可信、可管可控的物联网基础设施，鼓励金融、物流、商贸等服务领域应用物联网技术优化服务业态、创新服务模式，强化应用服务牵引，增强产品、网络、服务的垂直整合与融合发展能力。吸引国内外知名企业设立总部和研发中心，支持骨干企业做大做强，扶持中小企业创新发展，打造具有核心竞争力的产业集群。</w:t>
      </w:r>
    </w:p>
    <w:p>
      <w:pPr>
        <w:pageBreakBefore w:val="0"/>
        <w:widowControl w:val="0"/>
        <w:kinsoku/>
        <w:wordWrap/>
        <w:overflowPunct/>
        <w:topLinePunct w:val="0"/>
        <w:bidi w:val="0"/>
        <w:spacing w:beforeLines="0" w:after="0" w:afterLines="0" w:line="580" w:lineRule="exact"/>
        <w:ind w:firstLine="643"/>
        <w:textAlignment w:val="auto"/>
        <w:outlineLvl w:val="3"/>
        <w:rPr>
          <w:b/>
          <w:bCs/>
          <w:color w:val="auto"/>
          <w:highlight w:val="none"/>
          <w:lang w:val="en-GB"/>
        </w:rPr>
      </w:pPr>
      <w:r>
        <w:rPr>
          <w:b/>
          <w:bCs/>
          <w:color w:val="auto"/>
          <w:highlight w:val="none"/>
          <w:lang w:val="en-GB"/>
        </w:rPr>
        <w:t>（3）重点企业</w:t>
      </w:r>
    </w:p>
    <w:p>
      <w:pPr>
        <w:pageBreakBefore w:val="0"/>
        <w:widowControl w:val="0"/>
        <w:kinsoku/>
        <w:wordWrap/>
        <w:overflowPunct/>
        <w:topLinePunct w:val="0"/>
        <w:bidi w:val="0"/>
        <w:adjustRightInd w:val="0"/>
        <w:snapToGrid w:val="0"/>
        <w:spacing w:beforeLines="0" w:afterLines="0" w:line="580" w:lineRule="exact"/>
        <w:ind w:firstLine="643"/>
        <w:textAlignment w:val="auto"/>
        <w:rPr>
          <w:bCs/>
          <w:color w:val="auto"/>
          <w:highlight w:val="none"/>
        </w:rPr>
      </w:pPr>
      <w:r>
        <w:rPr>
          <w:b/>
          <w:color w:val="auto"/>
          <w:highlight w:val="none"/>
        </w:rPr>
        <w:t>重点引进企业</w:t>
      </w:r>
      <w:r>
        <w:rPr>
          <w:bCs/>
          <w:color w:val="auto"/>
          <w:highlight w:val="none"/>
        </w:rPr>
        <w:t>。重点引进腾讯、博世、思科物联网、百度、小米、海尔、紫光、科大讯飞、新华三、矽力杰、大疆等企业。</w:t>
      </w:r>
    </w:p>
    <w:p>
      <w:pPr>
        <w:pageBreakBefore w:val="0"/>
        <w:widowControl w:val="0"/>
        <w:kinsoku/>
        <w:wordWrap/>
        <w:overflowPunct/>
        <w:topLinePunct w:val="0"/>
        <w:bidi w:val="0"/>
        <w:spacing w:beforeLines="0" w:afterLines="0" w:line="580" w:lineRule="exact"/>
        <w:ind w:firstLine="643"/>
        <w:jc w:val="left"/>
        <w:textAlignment w:val="auto"/>
        <w:outlineLvl w:val="2"/>
        <w:rPr>
          <w:b/>
          <w:color w:val="auto"/>
          <w:highlight w:val="none"/>
        </w:rPr>
      </w:pPr>
      <w:bookmarkStart w:id="114" w:name="_Toc88257148"/>
      <w:bookmarkStart w:id="115" w:name="_Toc851246378"/>
      <w:r>
        <w:rPr>
          <w:rFonts w:hint="eastAsia"/>
          <w:b/>
          <w:color w:val="auto"/>
          <w:highlight w:val="none"/>
          <w:lang w:val="en-US" w:eastAsia="zh-CN"/>
        </w:rPr>
        <w:t>2</w:t>
      </w:r>
      <w:r>
        <w:rPr>
          <w:b/>
          <w:color w:val="auto"/>
          <w:highlight w:val="none"/>
        </w:rPr>
        <w:t>、人工智能</w:t>
      </w:r>
      <w:bookmarkEnd w:id="114"/>
      <w:bookmarkEnd w:id="115"/>
    </w:p>
    <w:p>
      <w:pPr>
        <w:pageBreakBefore w:val="0"/>
        <w:widowControl w:val="0"/>
        <w:kinsoku/>
        <w:wordWrap/>
        <w:overflowPunct/>
        <w:topLinePunct w:val="0"/>
        <w:bidi w:val="0"/>
        <w:spacing w:beforeLines="0" w:after="0" w:afterLines="0" w:line="580" w:lineRule="exact"/>
        <w:ind w:firstLine="643"/>
        <w:textAlignment w:val="auto"/>
        <w:outlineLvl w:val="3"/>
        <w:rPr>
          <w:b/>
          <w:bCs/>
          <w:color w:val="auto"/>
          <w:highlight w:val="none"/>
          <w:lang w:val="en-GB"/>
        </w:rPr>
      </w:pPr>
      <w:r>
        <w:rPr>
          <w:b/>
          <w:bCs/>
          <w:color w:val="auto"/>
          <w:highlight w:val="none"/>
          <w:lang w:val="en-GB"/>
        </w:rPr>
        <w:t>（1）重点方向</w:t>
      </w:r>
    </w:p>
    <w:p>
      <w:pPr>
        <w:pageBreakBefore w:val="0"/>
        <w:widowControl w:val="0"/>
        <w:kinsoku/>
        <w:wordWrap/>
        <w:overflowPunct/>
        <w:topLinePunct w:val="0"/>
        <w:bidi w:val="0"/>
        <w:adjustRightInd w:val="0"/>
        <w:snapToGrid w:val="0"/>
        <w:spacing w:beforeLines="0" w:afterLines="0" w:line="580" w:lineRule="exact"/>
        <w:ind w:firstLine="643"/>
        <w:textAlignment w:val="auto"/>
        <w:rPr>
          <w:color w:val="auto"/>
          <w:highlight w:val="none"/>
          <w:lang w:val="en-GB"/>
        </w:rPr>
      </w:pPr>
      <w:r>
        <w:rPr>
          <w:b/>
          <w:color w:val="auto"/>
          <w:highlight w:val="none"/>
          <w:lang w:val="en-GB"/>
        </w:rPr>
        <w:t>加快研发人工智能硬件产品。</w:t>
      </w:r>
      <w:r>
        <w:rPr>
          <w:bCs/>
          <w:color w:val="auto"/>
          <w:highlight w:val="none"/>
          <w:lang w:val="en-GB"/>
        </w:rPr>
        <w:t>支持图像识别、语音识别、机器翻译、智能交互、智能传感、物联网、机器学习等技术在智能家居产品中的应用。</w:t>
      </w:r>
      <w:r>
        <w:rPr>
          <w:color w:val="auto"/>
          <w:highlight w:val="none"/>
          <w:lang w:val="en-GB"/>
        </w:rPr>
        <w:t>发展智能服务机器人、智能家用电器、智能网络设备、智能安防、智能家具、智能照明、智能洁具等产品。发展智能医疗设备和智慧管理类可穿戴设备，包括智能养老照护系统、智能健康监测产品、智能腕带设备、智能手表设备、智能耳机等。</w:t>
      </w:r>
    </w:p>
    <w:p>
      <w:pPr>
        <w:pageBreakBefore w:val="0"/>
        <w:widowControl w:val="0"/>
        <w:kinsoku/>
        <w:wordWrap/>
        <w:overflowPunct/>
        <w:topLinePunct w:val="0"/>
        <w:bidi w:val="0"/>
        <w:adjustRightInd w:val="0"/>
        <w:snapToGrid w:val="0"/>
        <w:spacing w:beforeLines="0" w:afterLines="0" w:line="580" w:lineRule="exact"/>
        <w:ind w:firstLine="643"/>
        <w:textAlignment w:val="auto"/>
        <w:rPr>
          <w:color w:val="auto"/>
          <w:highlight w:val="none"/>
          <w:lang w:val="en-GB"/>
        </w:rPr>
      </w:pPr>
      <w:r>
        <w:rPr>
          <w:b/>
          <w:bCs/>
          <w:color w:val="auto"/>
          <w:highlight w:val="none"/>
          <w:lang w:val="en-GB"/>
        </w:rPr>
        <w:t>推广应用智能工厂</w:t>
      </w:r>
      <w:r>
        <w:rPr>
          <w:color w:val="auto"/>
          <w:highlight w:val="none"/>
          <w:lang w:val="en-GB"/>
        </w:rPr>
        <w:t>。重点推广动态智能调度、生产装备智能物联、生产数据云端采集、多维人机物协同与互操作等技术，发展智能制造关键技术装备、核心支撑软件、工业互联、智能制造解决方案等系统集成应用，实现工厂生产设备网络化、生产数据可视化、生产过程透明化、生产现场无人化，提升工厂运营管理智能化水平。</w:t>
      </w:r>
    </w:p>
    <w:p>
      <w:pPr>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rPr>
      </w:pPr>
      <w:r>
        <w:rPr>
          <w:b/>
          <w:bCs/>
          <w:color w:val="auto"/>
          <w:highlight w:val="none"/>
          <w:lang w:val="en-GB"/>
        </w:rPr>
        <w:t>（</w:t>
      </w:r>
      <w:r>
        <w:rPr>
          <w:b/>
          <w:bCs/>
          <w:color w:val="auto"/>
          <w:highlight w:val="none"/>
        </w:rPr>
        <w:t>2</w:t>
      </w:r>
      <w:r>
        <w:rPr>
          <w:b/>
          <w:bCs/>
          <w:color w:val="auto"/>
          <w:highlight w:val="none"/>
          <w:lang w:val="en-GB"/>
        </w:rPr>
        <w:t>）</w:t>
      </w:r>
      <w:r>
        <w:rPr>
          <w:b/>
          <w:bCs/>
          <w:color w:val="auto"/>
          <w:highlight w:val="none"/>
        </w:rPr>
        <w:t>发展路径</w:t>
      </w:r>
    </w:p>
    <w:p>
      <w:pPr>
        <w:pageBreakBefore w:val="0"/>
        <w:widowControl w:val="0"/>
        <w:kinsoku/>
        <w:wordWrap/>
        <w:overflowPunct/>
        <w:topLinePunct w:val="0"/>
        <w:bidi w:val="0"/>
        <w:spacing w:beforeLines="0" w:afterLines="0" w:line="580" w:lineRule="exact"/>
        <w:textAlignment w:val="auto"/>
        <w:rPr>
          <w:color w:val="auto"/>
          <w:highlight w:val="none"/>
        </w:rPr>
      </w:pPr>
      <w:r>
        <w:rPr>
          <w:color w:val="auto"/>
          <w:highlight w:val="none"/>
          <w:lang w:val="en-GB"/>
        </w:rPr>
        <w:t>积极引入人工智能企业，支持现有硬件企业积极开展面向人工智能技术的产品研发。推动硬件制造商、高校、科研院所合作创新发展模式，推动人工智能成果转化。依托江西省人工智能和智能制造重大项目，加大对人工智能和智能制造产业的扶持。</w:t>
      </w:r>
    </w:p>
    <w:p>
      <w:pPr>
        <w:pageBreakBefore w:val="0"/>
        <w:widowControl w:val="0"/>
        <w:kinsoku/>
        <w:wordWrap/>
        <w:overflowPunct/>
        <w:topLinePunct w:val="0"/>
        <w:bidi w:val="0"/>
        <w:spacing w:beforeLines="0" w:after="0" w:afterLines="0" w:line="580" w:lineRule="exact"/>
        <w:ind w:firstLine="643"/>
        <w:textAlignment w:val="auto"/>
        <w:outlineLvl w:val="3"/>
        <w:rPr>
          <w:b/>
          <w:bCs/>
          <w:color w:val="auto"/>
          <w:highlight w:val="none"/>
          <w:lang w:val="en-GB"/>
        </w:rPr>
      </w:pPr>
      <w:r>
        <w:rPr>
          <w:b/>
          <w:bCs/>
          <w:color w:val="auto"/>
          <w:highlight w:val="none"/>
          <w:lang w:val="en-GB"/>
        </w:rPr>
        <w:t>（</w:t>
      </w:r>
      <w:r>
        <w:rPr>
          <w:b/>
          <w:bCs/>
          <w:color w:val="auto"/>
          <w:highlight w:val="none"/>
        </w:rPr>
        <w:t>3</w:t>
      </w:r>
      <w:r>
        <w:rPr>
          <w:b/>
          <w:bCs/>
          <w:color w:val="auto"/>
          <w:highlight w:val="none"/>
          <w:lang w:val="en-GB"/>
        </w:rPr>
        <w:t>）重点企业</w:t>
      </w:r>
    </w:p>
    <w:p>
      <w:pPr>
        <w:pageBreakBefore w:val="0"/>
        <w:widowControl w:val="0"/>
        <w:kinsoku/>
        <w:wordWrap/>
        <w:overflowPunct/>
        <w:topLinePunct w:val="0"/>
        <w:bidi w:val="0"/>
        <w:adjustRightInd w:val="0"/>
        <w:snapToGrid w:val="0"/>
        <w:spacing w:beforeLines="0" w:afterLines="0" w:line="580" w:lineRule="exact"/>
        <w:ind w:firstLine="643"/>
        <w:textAlignment w:val="auto"/>
        <w:rPr>
          <w:bCs/>
          <w:color w:val="auto"/>
          <w:highlight w:val="none"/>
        </w:rPr>
      </w:pPr>
      <w:r>
        <w:rPr>
          <w:b/>
          <w:color w:val="auto"/>
          <w:highlight w:val="none"/>
          <w:lang w:val="en-GB"/>
        </w:rPr>
        <w:t>重点引进企业。</w:t>
      </w:r>
      <w:r>
        <w:rPr>
          <w:bCs/>
          <w:color w:val="auto"/>
          <w:highlight w:val="none"/>
          <w:lang w:val="en-GB"/>
        </w:rPr>
        <w:t>引进小米科技、小天才科技、北京奇虎科技、航天云网、中航301所、中国商飞、西门子、罗克韦尔自动化、中国汽车、上海明匠等企业。</w:t>
      </w:r>
    </w:p>
    <w:p>
      <w:pPr>
        <w:pStyle w:val="6"/>
        <w:pageBreakBefore w:val="0"/>
        <w:widowControl w:val="0"/>
        <w:kinsoku/>
        <w:wordWrap/>
        <w:overflowPunct/>
        <w:topLinePunct w:val="0"/>
        <w:bidi w:val="0"/>
        <w:spacing w:before="0" w:beforeLines="0" w:after="0" w:afterLines="0" w:line="580" w:lineRule="exact"/>
        <w:textAlignment w:val="auto"/>
        <w:rPr>
          <w:bCs w:val="0"/>
          <w:color w:val="auto"/>
          <w:highlight w:val="none"/>
        </w:rPr>
      </w:pPr>
      <w:bookmarkStart w:id="116" w:name="_Toc16334"/>
      <w:bookmarkStart w:id="117" w:name="_Toc1272095741"/>
      <w:bookmarkStart w:id="118" w:name="_Toc1934"/>
      <w:bookmarkStart w:id="119" w:name="_Toc88257149"/>
      <w:r>
        <w:rPr>
          <w:rFonts w:hint="eastAsia"/>
          <w:bCs w:val="0"/>
          <w:color w:val="auto"/>
          <w:highlight w:val="none"/>
          <w:lang w:val="en-US" w:eastAsia="zh-CN"/>
        </w:rPr>
        <w:t>3</w:t>
      </w:r>
      <w:r>
        <w:rPr>
          <w:bCs w:val="0"/>
          <w:color w:val="auto"/>
          <w:highlight w:val="none"/>
        </w:rPr>
        <w:t>、云计算和大数据</w:t>
      </w:r>
      <w:bookmarkEnd w:id="116"/>
      <w:bookmarkEnd w:id="117"/>
      <w:bookmarkEnd w:id="118"/>
      <w:bookmarkEnd w:id="119"/>
    </w:p>
    <w:p>
      <w:pPr>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lang w:val="en-GB"/>
        </w:rPr>
      </w:pPr>
      <w:r>
        <w:rPr>
          <w:b/>
          <w:bCs/>
          <w:color w:val="auto"/>
          <w:highlight w:val="none"/>
          <w:lang w:val="en-GB"/>
        </w:rPr>
        <w:t>（</w:t>
      </w:r>
      <w:r>
        <w:rPr>
          <w:b/>
          <w:bCs/>
          <w:color w:val="auto"/>
          <w:highlight w:val="none"/>
        </w:rPr>
        <w:t>1</w:t>
      </w:r>
      <w:r>
        <w:rPr>
          <w:b/>
          <w:bCs/>
          <w:color w:val="auto"/>
          <w:highlight w:val="none"/>
          <w:lang w:val="en-GB"/>
        </w:rPr>
        <w:t>）重点方向</w:t>
      </w:r>
    </w:p>
    <w:p>
      <w:pPr>
        <w:pageBreakBefore w:val="0"/>
        <w:widowControl w:val="0"/>
        <w:kinsoku/>
        <w:wordWrap/>
        <w:overflowPunct/>
        <w:topLinePunct w:val="0"/>
        <w:bidi w:val="0"/>
        <w:spacing w:beforeLines="0" w:afterLines="0" w:line="580" w:lineRule="exact"/>
        <w:ind w:firstLine="643"/>
        <w:textAlignment w:val="auto"/>
        <w:rPr>
          <w:color w:val="auto"/>
          <w:highlight w:val="none"/>
        </w:rPr>
      </w:pPr>
      <w:r>
        <w:rPr>
          <w:b/>
          <w:color w:val="auto"/>
          <w:highlight w:val="none"/>
          <w:lang w:val="en-GB"/>
        </w:rPr>
        <w:t>推动技术储备和业务创新。</w:t>
      </w:r>
      <w:r>
        <w:rPr>
          <w:color w:val="auto"/>
          <w:highlight w:val="none"/>
          <w:lang w:val="en-GB"/>
        </w:rPr>
        <w:t>关键技术创新方面，开展与云计算、大数据创新研究机构的合作交流，突破分布式存储、数据安全、大数据可视化、边缘计算等实用型关键技术。基础设施及服务方面，依托现有云计算数据中心，统筹新型数据中心规划和建设，面向本地和周边地区政务和各行业领域的信息技术应用提供存储、处理、网络等资源的租用服务。业务拓展方面，引进和培育一批高成长性云平台服务商和数据开发企业，鼓励当地电子信息企业开发云计算和大数据业务，提升数据处理技术和服务水平。</w:t>
      </w:r>
    </w:p>
    <w:p>
      <w:pPr>
        <w:pageBreakBefore w:val="0"/>
        <w:widowControl w:val="0"/>
        <w:kinsoku/>
        <w:wordWrap/>
        <w:overflowPunct/>
        <w:topLinePunct w:val="0"/>
        <w:bidi w:val="0"/>
        <w:spacing w:beforeLines="0" w:afterLines="0" w:line="580" w:lineRule="exact"/>
        <w:ind w:firstLine="643"/>
        <w:textAlignment w:val="auto"/>
        <w:rPr>
          <w:color w:val="auto"/>
          <w:highlight w:val="none"/>
          <w:lang w:val="en-GB"/>
        </w:rPr>
      </w:pPr>
      <w:r>
        <w:rPr>
          <w:b/>
          <w:color w:val="auto"/>
          <w:highlight w:val="none"/>
          <w:lang w:val="en-GB"/>
        </w:rPr>
        <w:t>推进云计算和大数据与各行业融合发展。</w:t>
      </w:r>
      <w:r>
        <w:rPr>
          <w:color w:val="auto"/>
          <w:highlight w:val="none"/>
          <w:lang w:val="en-GB"/>
        </w:rPr>
        <w:t>深入推进企业上云，依托智库等专业机构开展企业上云推广培训，鼓励电子信息制造企业采用ERP、MES、SCADA、SRM、PLM等信息化管理系统，实现生产流程的智能化管理，提高经营效率，加快数字化、网络化、智能化转型。推动大数据与各行业深度融合，支持企业建设数据资源体系、提升数据管理能力，开展工业大数据应用试点示范。支持政务、教育、医疗、旅游、交通、金融、商贸等领域大数据平台建设，开发基于云计算和大数据的行业解决方案，发展数据驱动的新模式新业态。</w:t>
      </w:r>
    </w:p>
    <w:p>
      <w:pPr>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rPr>
      </w:pPr>
      <w:r>
        <w:rPr>
          <w:b/>
          <w:bCs/>
          <w:color w:val="auto"/>
          <w:highlight w:val="none"/>
          <w:lang w:val="en-GB"/>
        </w:rPr>
        <w:t>（</w:t>
      </w:r>
      <w:r>
        <w:rPr>
          <w:b/>
          <w:bCs/>
          <w:color w:val="auto"/>
          <w:highlight w:val="none"/>
        </w:rPr>
        <w:t>2</w:t>
      </w:r>
      <w:r>
        <w:rPr>
          <w:b/>
          <w:bCs/>
          <w:color w:val="auto"/>
          <w:highlight w:val="none"/>
          <w:lang w:val="en-GB"/>
        </w:rPr>
        <w:t>）</w:t>
      </w:r>
      <w:r>
        <w:rPr>
          <w:b/>
          <w:bCs/>
          <w:color w:val="auto"/>
          <w:highlight w:val="none"/>
        </w:rPr>
        <w:t>发展路径</w:t>
      </w:r>
    </w:p>
    <w:p>
      <w:pPr>
        <w:pageBreakBefore w:val="0"/>
        <w:widowControl w:val="0"/>
        <w:kinsoku/>
        <w:wordWrap/>
        <w:overflowPunct/>
        <w:topLinePunct w:val="0"/>
        <w:bidi w:val="0"/>
        <w:spacing w:beforeLines="0" w:afterLines="0" w:line="580" w:lineRule="exact"/>
        <w:textAlignment w:val="auto"/>
        <w:rPr>
          <w:color w:val="auto"/>
          <w:highlight w:val="none"/>
        </w:rPr>
      </w:pPr>
      <w:r>
        <w:rPr>
          <w:color w:val="auto"/>
          <w:highlight w:val="none"/>
          <w:lang w:val="en-GB"/>
        </w:rPr>
        <w:t>依托</w:t>
      </w:r>
      <w:r>
        <w:rPr>
          <w:rFonts w:hint="eastAsia"/>
          <w:color w:val="auto"/>
          <w:highlight w:val="none"/>
          <w:lang w:val="en-GB" w:eastAsia="zh-CN"/>
        </w:rPr>
        <w:t>中国信通院江西分院、中国工联院江西分院等</w:t>
      </w:r>
      <w:r>
        <w:rPr>
          <w:color w:val="auto"/>
          <w:highlight w:val="none"/>
          <w:lang w:val="en-GB"/>
        </w:rPr>
        <w:t>，加快云计算和大数据共性技术的研发创新。鼓励本地企业与国内知名的云计算和大数据龙头企业开展合作，加快云计算和大数据技术在电子信息企业的应用。积极引进云计算和大数据企业，支持本地电子信息企业转型开发云服务和大数据产品。</w:t>
      </w:r>
    </w:p>
    <w:p>
      <w:pPr>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lang w:val="en-GB"/>
        </w:rPr>
      </w:pPr>
      <w:r>
        <w:rPr>
          <w:b/>
          <w:bCs/>
          <w:color w:val="auto"/>
          <w:highlight w:val="none"/>
          <w:lang w:val="en-GB"/>
        </w:rPr>
        <w:t>（</w:t>
      </w:r>
      <w:r>
        <w:rPr>
          <w:b/>
          <w:bCs/>
          <w:color w:val="auto"/>
          <w:highlight w:val="none"/>
        </w:rPr>
        <w:t>3</w:t>
      </w:r>
      <w:r>
        <w:rPr>
          <w:b/>
          <w:bCs/>
          <w:color w:val="auto"/>
          <w:highlight w:val="none"/>
          <w:lang w:val="en-GB"/>
        </w:rPr>
        <w:t>）重点企业</w:t>
      </w:r>
    </w:p>
    <w:p>
      <w:pPr>
        <w:pageBreakBefore w:val="0"/>
        <w:widowControl w:val="0"/>
        <w:kinsoku/>
        <w:wordWrap/>
        <w:overflowPunct/>
        <w:topLinePunct w:val="0"/>
        <w:bidi w:val="0"/>
        <w:spacing w:beforeLines="0" w:afterLines="0" w:line="580" w:lineRule="exact"/>
        <w:ind w:firstLine="643"/>
        <w:textAlignment w:val="auto"/>
        <w:rPr>
          <w:color w:val="auto"/>
          <w:highlight w:val="none"/>
          <w:lang w:val="en-GB"/>
        </w:rPr>
      </w:pPr>
      <w:r>
        <w:rPr>
          <w:b/>
          <w:color w:val="auto"/>
          <w:highlight w:val="none"/>
          <w:lang w:val="en-GB"/>
        </w:rPr>
        <w:t>重点引进企业。</w:t>
      </w:r>
      <w:r>
        <w:rPr>
          <w:color w:val="auto"/>
          <w:highlight w:val="none"/>
          <w:lang w:val="en-GB"/>
        </w:rPr>
        <w:t>重点</w:t>
      </w:r>
      <w:r>
        <w:rPr>
          <w:bCs/>
          <w:color w:val="auto"/>
          <w:highlight w:val="none"/>
          <w:lang w:val="en-GB"/>
        </w:rPr>
        <w:t>引进腾讯云、浪潮云、华云、新华三、金山云、城云科技、百分点、SAP、东软等企业。</w:t>
      </w:r>
    </w:p>
    <w:p>
      <w:pPr>
        <w:pageBreakBefore w:val="0"/>
        <w:widowControl w:val="0"/>
        <w:kinsoku/>
        <w:wordWrap/>
        <w:overflowPunct/>
        <w:topLinePunct w:val="0"/>
        <w:bidi w:val="0"/>
        <w:spacing w:beforeLines="0" w:afterLines="0" w:line="580" w:lineRule="exact"/>
        <w:ind w:firstLine="643"/>
        <w:jc w:val="left"/>
        <w:textAlignment w:val="auto"/>
        <w:outlineLvl w:val="1"/>
        <w:rPr>
          <w:rFonts w:eastAsia="楷体_GB2312"/>
          <w:b/>
          <w:bCs/>
          <w:color w:val="auto"/>
          <w:kern w:val="28"/>
          <w:highlight w:val="none"/>
        </w:rPr>
      </w:pPr>
      <w:bookmarkStart w:id="120" w:name="_Toc566983673"/>
      <w:bookmarkStart w:id="121" w:name="_Toc28616"/>
      <w:bookmarkStart w:id="122" w:name="_Toc11691"/>
      <w:bookmarkStart w:id="123" w:name="_Toc88257150"/>
      <w:r>
        <w:rPr>
          <w:rFonts w:eastAsia="楷体_GB2312"/>
          <w:b/>
          <w:bCs/>
          <w:color w:val="auto"/>
          <w:kern w:val="28"/>
          <w:highlight w:val="none"/>
        </w:rPr>
        <w:t>（四）积极推动融合领域创新</w:t>
      </w:r>
      <w:bookmarkEnd w:id="120"/>
      <w:bookmarkEnd w:id="121"/>
      <w:bookmarkEnd w:id="122"/>
      <w:bookmarkEnd w:id="123"/>
    </w:p>
    <w:p>
      <w:pPr>
        <w:pageBreakBefore w:val="0"/>
        <w:widowControl w:val="0"/>
        <w:kinsoku/>
        <w:wordWrap/>
        <w:overflowPunct/>
        <w:topLinePunct w:val="0"/>
        <w:bidi w:val="0"/>
        <w:spacing w:beforeLines="0" w:afterLines="0" w:line="580" w:lineRule="exact"/>
        <w:jc w:val="left"/>
        <w:textAlignment w:val="auto"/>
        <w:rPr>
          <w:bCs/>
          <w:color w:val="auto"/>
          <w:highlight w:val="none"/>
        </w:rPr>
      </w:pPr>
      <w:r>
        <w:rPr>
          <w:bCs/>
          <w:color w:val="auto"/>
          <w:highlight w:val="none"/>
        </w:rPr>
        <w:t>深挖传统行业转型升级潜力，打造工业互联网、航空电子、汽车电子</w:t>
      </w:r>
      <w:r>
        <w:rPr>
          <w:rFonts w:hint="eastAsia"/>
          <w:bCs/>
          <w:color w:val="auto"/>
          <w:highlight w:val="none"/>
          <w:lang w:eastAsia="zh-CN"/>
        </w:rPr>
        <w:t>、北斗应用四</w:t>
      </w:r>
      <w:r>
        <w:rPr>
          <w:bCs/>
          <w:color w:val="auto"/>
          <w:highlight w:val="none"/>
        </w:rPr>
        <w:t>大行业电子产业集群。</w:t>
      </w:r>
    </w:p>
    <w:p>
      <w:pPr>
        <w:pageBreakBefore w:val="0"/>
        <w:widowControl w:val="0"/>
        <w:kinsoku/>
        <w:wordWrap/>
        <w:overflowPunct/>
        <w:topLinePunct w:val="0"/>
        <w:bidi w:val="0"/>
        <w:spacing w:beforeLines="0" w:afterLines="0" w:line="580" w:lineRule="exact"/>
        <w:ind w:firstLine="643"/>
        <w:jc w:val="left"/>
        <w:textAlignment w:val="auto"/>
        <w:outlineLvl w:val="2"/>
        <w:rPr>
          <w:b/>
          <w:color w:val="auto"/>
          <w:highlight w:val="none"/>
        </w:rPr>
      </w:pPr>
      <w:bookmarkStart w:id="124" w:name="_Toc88257151"/>
      <w:bookmarkStart w:id="125" w:name="_Toc2118886943"/>
      <w:r>
        <w:rPr>
          <w:b/>
          <w:color w:val="auto"/>
          <w:highlight w:val="none"/>
        </w:rPr>
        <w:t>1、工业互联网</w:t>
      </w:r>
      <w:bookmarkEnd w:id="124"/>
      <w:bookmarkEnd w:id="125"/>
    </w:p>
    <w:p>
      <w:pPr>
        <w:keepNext/>
        <w:keepLines/>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lang w:val="en-GB"/>
        </w:rPr>
      </w:pPr>
      <w:r>
        <w:rPr>
          <w:b/>
          <w:bCs/>
          <w:color w:val="auto"/>
          <w:highlight w:val="none"/>
          <w:lang w:val="en-GB"/>
        </w:rPr>
        <w:t>（</w:t>
      </w:r>
      <w:r>
        <w:rPr>
          <w:b/>
          <w:bCs/>
          <w:color w:val="auto"/>
          <w:highlight w:val="none"/>
        </w:rPr>
        <w:t>1</w:t>
      </w:r>
      <w:r>
        <w:rPr>
          <w:b/>
          <w:bCs/>
          <w:color w:val="auto"/>
          <w:highlight w:val="none"/>
          <w:lang w:val="en-GB"/>
        </w:rPr>
        <w:t>）重点方向</w:t>
      </w:r>
    </w:p>
    <w:p>
      <w:pPr>
        <w:pageBreakBefore w:val="0"/>
        <w:widowControl w:val="0"/>
        <w:kinsoku/>
        <w:wordWrap/>
        <w:overflowPunct/>
        <w:topLinePunct w:val="0"/>
        <w:bidi w:val="0"/>
        <w:spacing w:beforeLines="0" w:afterLines="0" w:line="580" w:lineRule="exact"/>
        <w:ind w:firstLine="643"/>
        <w:textAlignment w:val="auto"/>
        <w:rPr>
          <w:bCs/>
          <w:color w:val="auto"/>
          <w:highlight w:val="none"/>
        </w:rPr>
      </w:pPr>
      <w:r>
        <w:rPr>
          <w:b/>
          <w:color w:val="auto"/>
          <w:highlight w:val="none"/>
        </w:rPr>
        <w:t>解决关键瓶颈问题</w:t>
      </w:r>
      <w:r>
        <w:rPr>
          <w:bCs/>
          <w:color w:val="auto"/>
          <w:highlight w:val="none"/>
        </w:rPr>
        <w:t>。推进工业机理模型、算法、信息物理系统等关键技术研发。一是提升自动控制与感知产业支撑能力，加快推动智能传感器、可编程逻辑控制器、分布式控制系统、数据采集与监控系统等研发和产业化。二是实施工业技术软件化工程，推动工业云操作系统、新型工业软件、工业大数据建模分析、微服务组件等核心技术的研发和产业化，超前布局数字孪生、云化仿真设计与运营管理软件等。三是夯实工业互联网平台网络基础，推进工厂内网的IP化、无线化、扁平化、柔性化技术改造和建设部署，加快NB-IoT等新型网络技术部署，加快软件定义网络、网络功能虚拟化等新一代网络技术研究和部署试点。</w:t>
      </w:r>
    </w:p>
    <w:p>
      <w:pPr>
        <w:pageBreakBefore w:val="0"/>
        <w:widowControl w:val="0"/>
        <w:kinsoku/>
        <w:wordWrap/>
        <w:overflowPunct/>
        <w:topLinePunct w:val="0"/>
        <w:bidi w:val="0"/>
        <w:spacing w:beforeLines="0" w:afterLines="0" w:line="580" w:lineRule="exact"/>
        <w:ind w:firstLine="643"/>
        <w:textAlignment w:val="auto"/>
        <w:rPr>
          <w:bCs/>
          <w:color w:val="auto"/>
          <w:highlight w:val="none"/>
        </w:rPr>
      </w:pPr>
      <w:r>
        <w:rPr>
          <w:b/>
          <w:color w:val="auto"/>
          <w:highlight w:val="none"/>
        </w:rPr>
        <w:t>保障工业信息安全</w:t>
      </w:r>
      <w:r>
        <w:rPr>
          <w:bCs/>
          <w:color w:val="auto"/>
          <w:highlight w:val="none"/>
        </w:rPr>
        <w:t>。一是完善工业APP技术标准体系。制定APP技术架构、业务交互、安全防护等方面标准，促进程序兼容、互通和安全。二是健全工业互联网安全管理体系。强化应用企业主体责任，引导其增加安</w:t>
      </w:r>
      <w:r>
        <w:rPr>
          <w:rFonts w:hint="eastAsia"/>
          <w:bCs/>
          <w:color w:val="auto"/>
          <w:highlight w:val="none"/>
          <w:lang w:eastAsia="zh-CN"/>
        </w:rPr>
        <w:t>进一步</w:t>
      </w:r>
      <w:r>
        <w:rPr>
          <w:bCs/>
          <w:color w:val="auto"/>
          <w:highlight w:val="none"/>
        </w:rPr>
        <w:t>全投入；加大针对工业互联网安全供给企业的支持力度，促进安全技术成果转化和产品服务创新；加快建成满足设备、控制、网络、平台、数据等安全需求的多层次技术防控体系，全面提升产业安全保障能力。三是加大信息装备标准的宣贯。从供给端为制造企业提供标准化、</w:t>
      </w:r>
      <w:r>
        <w:rPr>
          <w:rFonts w:hint="eastAsia"/>
          <w:bCs/>
          <w:color w:val="auto"/>
          <w:highlight w:val="none"/>
        </w:rPr>
        <w:t>可</w:t>
      </w:r>
      <w:r>
        <w:rPr>
          <w:bCs/>
          <w:color w:val="auto"/>
          <w:highlight w:val="none"/>
        </w:rPr>
        <w:t>直接集成互联的制造装备</w:t>
      </w:r>
      <w:r>
        <w:rPr>
          <w:rFonts w:hint="eastAsia"/>
          <w:bCs/>
          <w:color w:val="auto"/>
          <w:highlight w:val="none"/>
        </w:rPr>
        <w:t>。</w:t>
      </w:r>
    </w:p>
    <w:p>
      <w:pPr>
        <w:pageBreakBefore w:val="0"/>
        <w:widowControl w:val="0"/>
        <w:kinsoku/>
        <w:wordWrap/>
        <w:overflowPunct/>
        <w:topLinePunct w:val="0"/>
        <w:bidi w:val="0"/>
        <w:spacing w:beforeLines="0" w:afterLines="0" w:line="580" w:lineRule="exact"/>
        <w:ind w:firstLine="643"/>
        <w:textAlignment w:val="auto"/>
        <w:rPr>
          <w:bCs/>
          <w:color w:val="auto"/>
          <w:highlight w:val="none"/>
        </w:rPr>
      </w:pPr>
      <w:r>
        <w:rPr>
          <w:b/>
          <w:color w:val="auto"/>
          <w:highlight w:val="none"/>
        </w:rPr>
        <w:t>生态体系建设</w:t>
      </w:r>
      <w:r>
        <w:rPr>
          <w:bCs/>
          <w:color w:val="auto"/>
          <w:highlight w:val="none"/>
        </w:rPr>
        <w:t>。一是培育两类开源社区。引导有关企业建设设备协议兼容的开源社区，开放各类标准兼容、协议转换的技术，实现工业数据在多源设备、异构系统之间的有序流动；培育行业共性技术开放的开源社区，引导工业互联网平台企业开放开发工具、知识组件、算法组件，构建开放共享、资源富集、创新活跃的工业APP开发生态。二是构建工业互联网APP应用创新生态圈。鼓励制造企业、软件企业、工业数据分析企业、工业自动化公司、工业信息服务企业、互联网企业等联合成立细分行业工业软件联盟，加强工业软件联合开发和推广应用。</w:t>
      </w:r>
    </w:p>
    <w:p>
      <w:pPr>
        <w:keepNext/>
        <w:keepLines/>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rPr>
      </w:pPr>
      <w:r>
        <w:rPr>
          <w:b/>
          <w:bCs/>
          <w:color w:val="auto"/>
          <w:highlight w:val="none"/>
          <w:lang w:val="en-GB"/>
        </w:rPr>
        <w:t>（</w:t>
      </w:r>
      <w:r>
        <w:rPr>
          <w:b/>
          <w:bCs/>
          <w:color w:val="auto"/>
          <w:highlight w:val="none"/>
        </w:rPr>
        <w:t>2</w:t>
      </w:r>
      <w:r>
        <w:rPr>
          <w:b/>
          <w:bCs/>
          <w:color w:val="auto"/>
          <w:highlight w:val="none"/>
          <w:lang w:val="en-GB"/>
        </w:rPr>
        <w:t>）</w:t>
      </w:r>
      <w:r>
        <w:rPr>
          <w:b/>
          <w:bCs/>
          <w:color w:val="auto"/>
          <w:highlight w:val="none"/>
        </w:rPr>
        <w:t>发展路径</w:t>
      </w:r>
    </w:p>
    <w:p>
      <w:pPr>
        <w:pageBreakBefore w:val="0"/>
        <w:widowControl w:val="0"/>
        <w:kinsoku/>
        <w:wordWrap/>
        <w:overflowPunct/>
        <w:topLinePunct w:val="0"/>
        <w:bidi w:val="0"/>
        <w:spacing w:beforeLines="0" w:afterLines="0" w:line="580" w:lineRule="exact"/>
        <w:textAlignment w:val="auto"/>
        <w:rPr>
          <w:color w:val="auto"/>
          <w:highlight w:val="none"/>
        </w:rPr>
      </w:pPr>
      <w:r>
        <w:rPr>
          <w:color w:val="auto"/>
          <w:highlight w:val="none"/>
        </w:rPr>
        <w:t>依托南昌市已正式运营的国家工业互联网标识解析二级综合节点，引导企业接入，建立生产节点的数字化、网络化、信息化模型，共享各个企业的资源与能力，形成企业之间互联互通、高效协同的生产模式。依托高新区电子信息和光电产业良好基础，做好5G+工业互联网的应用推广。充分发挥二级节点作用与价值，切实提升南昌工业互联网站位，借助工业互联网平台建设带动产业数字化发展，为南昌市电子信息产业弯道超车注入强劲动力。</w:t>
      </w:r>
    </w:p>
    <w:p>
      <w:pPr>
        <w:keepNext/>
        <w:keepLines/>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lang w:val="en-GB"/>
        </w:rPr>
      </w:pPr>
      <w:r>
        <w:rPr>
          <w:b/>
          <w:bCs/>
          <w:color w:val="auto"/>
          <w:highlight w:val="none"/>
          <w:lang w:val="en-GB"/>
        </w:rPr>
        <w:t>（</w:t>
      </w:r>
      <w:r>
        <w:rPr>
          <w:b/>
          <w:bCs/>
          <w:color w:val="auto"/>
          <w:highlight w:val="none"/>
        </w:rPr>
        <w:t>3</w:t>
      </w:r>
      <w:r>
        <w:rPr>
          <w:b/>
          <w:bCs/>
          <w:color w:val="auto"/>
          <w:highlight w:val="none"/>
          <w:lang w:val="en-GB"/>
        </w:rPr>
        <w:t>）重点企业</w:t>
      </w:r>
    </w:p>
    <w:p>
      <w:pPr>
        <w:pageBreakBefore w:val="0"/>
        <w:widowControl w:val="0"/>
        <w:kinsoku/>
        <w:wordWrap/>
        <w:overflowPunct/>
        <w:topLinePunct w:val="0"/>
        <w:bidi w:val="0"/>
        <w:spacing w:beforeLines="0" w:afterLines="0" w:line="580" w:lineRule="exact"/>
        <w:ind w:firstLine="643"/>
        <w:textAlignment w:val="auto"/>
        <w:rPr>
          <w:bCs/>
          <w:color w:val="auto"/>
          <w:highlight w:val="none"/>
        </w:rPr>
      </w:pPr>
      <w:r>
        <w:rPr>
          <w:b/>
          <w:bCs/>
          <w:color w:val="auto"/>
          <w:highlight w:val="none"/>
        </w:rPr>
        <w:t>重点引进企业。</w:t>
      </w:r>
      <w:r>
        <w:rPr>
          <w:bCs/>
          <w:color w:val="auto"/>
          <w:highlight w:val="none"/>
        </w:rPr>
        <w:t>海尔、东方国信、用友、树根互联、航天云网、浪潮、富士康、徐工信息等企业。</w:t>
      </w:r>
    </w:p>
    <w:p>
      <w:pPr>
        <w:pageBreakBefore w:val="0"/>
        <w:widowControl w:val="0"/>
        <w:kinsoku/>
        <w:wordWrap/>
        <w:overflowPunct/>
        <w:topLinePunct w:val="0"/>
        <w:bidi w:val="0"/>
        <w:spacing w:beforeLines="0" w:afterLines="0" w:line="580" w:lineRule="exact"/>
        <w:ind w:firstLine="643"/>
        <w:jc w:val="left"/>
        <w:textAlignment w:val="auto"/>
        <w:outlineLvl w:val="2"/>
        <w:rPr>
          <w:b/>
          <w:color w:val="auto"/>
          <w:highlight w:val="none"/>
        </w:rPr>
      </w:pPr>
      <w:bookmarkStart w:id="126" w:name="_Toc107163498"/>
      <w:bookmarkStart w:id="127" w:name="_Toc88257152"/>
      <w:r>
        <w:rPr>
          <w:b/>
          <w:color w:val="auto"/>
          <w:highlight w:val="none"/>
        </w:rPr>
        <w:t>2、航空电子</w:t>
      </w:r>
      <w:bookmarkEnd w:id="126"/>
      <w:bookmarkEnd w:id="127"/>
    </w:p>
    <w:p>
      <w:pPr>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lang w:val="en-GB"/>
        </w:rPr>
      </w:pPr>
      <w:r>
        <w:rPr>
          <w:b/>
          <w:bCs/>
          <w:color w:val="auto"/>
          <w:highlight w:val="none"/>
          <w:lang w:val="en-GB"/>
        </w:rPr>
        <w:t>（</w:t>
      </w:r>
      <w:r>
        <w:rPr>
          <w:b/>
          <w:bCs/>
          <w:color w:val="auto"/>
          <w:highlight w:val="none"/>
        </w:rPr>
        <w:t>1</w:t>
      </w:r>
      <w:r>
        <w:rPr>
          <w:b/>
          <w:bCs/>
          <w:color w:val="auto"/>
          <w:highlight w:val="none"/>
          <w:lang w:val="en-GB"/>
        </w:rPr>
        <w:t>）重点方向</w:t>
      </w:r>
    </w:p>
    <w:p>
      <w:pPr>
        <w:pageBreakBefore w:val="0"/>
        <w:widowControl w:val="0"/>
        <w:kinsoku/>
        <w:wordWrap/>
        <w:overflowPunct/>
        <w:topLinePunct w:val="0"/>
        <w:bidi w:val="0"/>
        <w:adjustRightInd w:val="0"/>
        <w:snapToGrid w:val="0"/>
        <w:spacing w:beforeLines="0" w:afterLines="0" w:line="580" w:lineRule="exact"/>
        <w:ind w:firstLine="643"/>
        <w:textAlignment w:val="auto"/>
        <w:rPr>
          <w:color w:val="auto"/>
          <w:highlight w:val="none"/>
          <w:lang w:val="en-GB"/>
        </w:rPr>
      </w:pPr>
      <w:r>
        <w:rPr>
          <w:b/>
          <w:color w:val="auto"/>
          <w:highlight w:val="none"/>
        </w:rPr>
        <w:t>提升</w:t>
      </w:r>
      <w:r>
        <w:rPr>
          <w:b/>
          <w:color w:val="auto"/>
          <w:highlight w:val="none"/>
          <w:lang w:val="en-GB"/>
        </w:rPr>
        <w:t>通信与导航系统</w:t>
      </w:r>
      <w:r>
        <w:rPr>
          <w:b/>
          <w:color w:val="auto"/>
          <w:highlight w:val="none"/>
        </w:rPr>
        <w:t>水平</w:t>
      </w:r>
      <w:r>
        <w:rPr>
          <w:color w:val="auto"/>
          <w:highlight w:val="none"/>
          <w:lang w:val="en-GB"/>
        </w:rPr>
        <w:t>。着力发展航空机载、任务、空管、地面应用相关的通信设备与系统，重点发展适用于通用航空的雷达、声呐、光电通信设备、机载通信网络等通信设备，发展基于北斗系统的导航定位、遥感遥测等系统产品。</w:t>
      </w:r>
    </w:p>
    <w:p>
      <w:pPr>
        <w:pageBreakBefore w:val="0"/>
        <w:widowControl w:val="0"/>
        <w:kinsoku/>
        <w:wordWrap/>
        <w:overflowPunct/>
        <w:topLinePunct w:val="0"/>
        <w:bidi w:val="0"/>
        <w:adjustRightInd w:val="0"/>
        <w:snapToGrid w:val="0"/>
        <w:spacing w:beforeLines="0" w:afterLines="0" w:line="580" w:lineRule="exact"/>
        <w:ind w:firstLine="643"/>
        <w:textAlignment w:val="auto"/>
        <w:rPr>
          <w:color w:val="auto"/>
          <w:highlight w:val="none"/>
          <w:lang w:val="en-GB"/>
        </w:rPr>
      </w:pPr>
      <w:r>
        <w:rPr>
          <w:b/>
          <w:color w:val="auto"/>
          <w:highlight w:val="none"/>
        </w:rPr>
        <w:t>增强</w:t>
      </w:r>
      <w:r>
        <w:rPr>
          <w:b/>
          <w:color w:val="auto"/>
          <w:highlight w:val="none"/>
          <w:lang w:val="en-GB"/>
        </w:rPr>
        <w:t>航空控制系统</w:t>
      </w:r>
      <w:r>
        <w:rPr>
          <w:b/>
          <w:color w:val="auto"/>
          <w:highlight w:val="none"/>
        </w:rPr>
        <w:t>能力</w:t>
      </w:r>
      <w:r>
        <w:rPr>
          <w:color w:val="auto"/>
          <w:highlight w:val="none"/>
          <w:lang w:val="en-GB"/>
        </w:rPr>
        <w:t>。重点发展机载电气控制系统、自动飞行控制系统、核心处理计算机等设备和产品，发展无人机控制系统和产品。</w:t>
      </w:r>
    </w:p>
    <w:p>
      <w:pPr>
        <w:pageBreakBefore w:val="0"/>
        <w:widowControl w:val="0"/>
        <w:kinsoku/>
        <w:wordWrap/>
        <w:overflowPunct/>
        <w:topLinePunct w:val="0"/>
        <w:bidi w:val="0"/>
        <w:adjustRightInd w:val="0"/>
        <w:snapToGrid w:val="0"/>
        <w:spacing w:beforeLines="0" w:afterLines="0" w:line="580" w:lineRule="exact"/>
        <w:ind w:firstLine="643"/>
        <w:textAlignment w:val="auto"/>
        <w:rPr>
          <w:color w:val="auto"/>
          <w:highlight w:val="none"/>
          <w:lang w:val="en-GB"/>
        </w:rPr>
      </w:pPr>
      <w:r>
        <w:rPr>
          <w:b/>
          <w:color w:val="auto"/>
          <w:highlight w:val="none"/>
        </w:rPr>
        <w:t>发展</w:t>
      </w:r>
      <w:r>
        <w:rPr>
          <w:b/>
          <w:color w:val="auto"/>
          <w:highlight w:val="none"/>
          <w:lang w:val="en-GB"/>
        </w:rPr>
        <w:t>航空电子仪器仪表</w:t>
      </w:r>
      <w:r>
        <w:rPr>
          <w:b/>
          <w:color w:val="auto"/>
          <w:highlight w:val="none"/>
        </w:rPr>
        <w:t>体系</w:t>
      </w:r>
      <w:r>
        <w:rPr>
          <w:b/>
          <w:color w:val="auto"/>
          <w:highlight w:val="none"/>
          <w:lang w:val="en-GB"/>
        </w:rPr>
        <w:t>。</w:t>
      </w:r>
      <w:r>
        <w:rPr>
          <w:color w:val="auto"/>
          <w:highlight w:val="none"/>
          <w:lang w:val="en-GB"/>
        </w:rPr>
        <w:t>发展大气监测、飞行数据记录所需要的电子仪器仪表，包括气压高度表、飞行速度表、飞行姿态指引仪表、惯性基准系统等。</w:t>
      </w:r>
    </w:p>
    <w:p>
      <w:pPr>
        <w:pageBreakBefore w:val="0"/>
        <w:widowControl w:val="0"/>
        <w:kinsoku/>
        <w:wordWrap/>
        <w:overflowPunct/>
        <w:topLinePunct w:val="0"/>
        <w:bidi w:val="0"/>
        <w:adjustRightInd w:val="0"/>
        <w:snapToGrid w:val="0"/>
        <w:spacing w:beforeLines="0" w:afterLines="0" w:line="580" w:lineRule="exact"/>
        <w:ind w:firstLine="643"/>
        <w:textAlignment w:val="auto"/>
        <w:rPr>
          <w:color w:val="auto"/>
          <w:highlight w:val="none"/>
          <w:lang w:val="en-GB"/>
        </w:rPr>
      </w:pPr>
      <w:r>
        <w:rPr>
          <w:b/>
          <w:color w:val="auto"/>
          <w:highlight w:val="none"/>
        </w:rPr>
        <w:t>打造智能化</w:t>
      </w:r>
      <w:r>
        <w:rPr>
          <w:b/>
          <w:color w:val="auto"/>
          <w:highlight w:val="none"/>
          <w:lang w:val="en-GB"/>
        </w:rPr>
        <w:t>客舱服务系统。</w:t>
      </w:r>
      <w:r>
        <w:rPr>
          <w:color w:val="auto"/>
          <w:highlight w:val="none"/>
          <w:lang w:val="en-GB"/>
        </w:rPr>
        <w:t>重点发展客舱照明、客舱综合显示系统、机载W</w:t>
      </w:r>
      <w:r>
        <w:rPr>
          <w:rFonts w:hint="eastAsia"/>
          <w:color w:val="auto"/>
          <w:highlight w:val="none"/>
          <w:lang w:val="en-GB"/>
        </w:rPr>
        <w:t>i</w:t>
      </w:r>
      <w:r>
        <w:rPr>
          <w:color w:val="auto"/>
          <w:highlight w:val="none"/>
          <w:lang w:val="en-GB"/>
        </w:rPr>
        <w:t>F</w:t>
      </w:r>
      <w:r>
        <w:rPr>
          <w:rFonts w:hint="eastAsia"/>
          <w:color w:val="auto"/>
          <w:highlight w:val="none"/>
          <w:lang w:val="en-GB"/>
        </w:rPr>
        <w:t>i</w:t>
      </w:r>
      <w:r>
        <w:rPr>
          <w:color w:val="auto"/>
          <w:highlight w:val="none"/>
          <w:lang w:val="en-GB"/>
        </w:rPr>
        <w:t>娱乐系统及终端等。</w:t>
      </w:r>
    </w:p>
    <w:p>
      <w:pPr>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rPr>
      </w:pPr>
      <w:r>
        <w:rPr>
          <w:b/>
          <w:bCs/>
          <w:color w:val="auto"/>
          <w:highlight w:val="none"/>
          <w:lang w:val="en-GB"/>
        </w:rPr>
        <w:t>（</w:t>
      </w:r>
      <w:r>
        <w:rPr>
          <w:b/>
          <w:bCs/>
          <w:color w:val="auto"/>
          <w:highlight w:val="none"/>
        </w:rPr>
        <w:t>2</w:t>
      </w:r>
      <w:r>
        <w:rPr>
          <w:b/>
          <w:bCs/>
          <w:color w:val="auto"/>
          <w:highlight w:val="none"/>
          <w:lang w:val="en-GB"/>
        </w:rPr>
        <w:t>）</w:t>
      </w:r>
      <w:r>
        <w:rPr>
          <w:b/>
          <w:bCs/>
          <w:color w:val="auto"/>
          <w:highlight w:val="none"/>
        </w:rPr>
        <w:t>发展路径</w:t>
      </w:r>
    </w:p>
    <w:p>
      <w:pPr>
        <w:pageBreakBefore w:val="0"/>
        <w:widowControl w:val="0"/>
        <w:kinsoku/>
        <w:wordWrap/>
        <w:overflowPunct/>
        <w:topLinePunct w:val="0"/>
        <w:bidi w:val="0"/>
        <w:spacing w:beforeLines="0" w:afterLines="0" w:line="580" w:lineRule="exact"/>
        <w:textAlignment w:val="auto"/>
        <w:rPr>
          <w:color w:val="auto"/>
          <w:highlight w:val="none"/>
          <w:lang w:val="en-GB"/>
        </w:rPr>
      </w:pPr>
      <w:r>
        <w:rPr>
          <w:color w:val="auto"/>
          <w:highlight w:val="none"/>
          <w:lang w:val="en-GB"/>
        </w:rPr>
        <w:t>以南昌国家航空高技术产业基地为依托，围绕航空发动机、通信与导航系统、客舱服务系统等重点方向进行招商引资，实现航空电子产业集聚。以航空制造技术为依托加强产业链上下游的技术合作，积极开展航空发动机、通信与导航系统、航空控制系统、航空电子仪器仪表灯关键技术攻关和重大新产品开发，促进技术成果向产业转化。</w:t>
      </w:r>
    </w:p>
    <w:p>
      <w:pPr>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lang w:val="en-GB"/>
        </w:rPr>
      </w:pPr>
      <w:r>
        <w:rPr>
          <w:b/>
          <w:bCs/>
          <w:color w:val="auto"/>
          <w:highlight w:val="none"/>
          <w:lang w:val="en-GB"/>
        </w:rPr>
        <w:t>（</w:t>
      </w:r>
      <w:r>
        <w:rPr>
          <w:b/>
          <w:bCs/>
          <w:color w:val="auto"/>
          <w:highlight w:val="none"/>
        </w:rPr>
        <w:t>3</w:t>
      </w:r>
      <w:r>
        <w:rPr>
          <w:b/>
          <w:bCs/>
          <w:color w:val="auto"/>
          <w:highlight w:val="none"/>
          <w:lang w:val="en-GB"/>
        </w:rPr>
        <w:t>）重点企业</w:t>
      </w:r>
    </w:p>
    <w:p>
      <w:pPr>
        <w:pageBreakBefore w:val="0"/>
        <w:widowControl w:val="0"/>
        <w:kinsoku/>
        <w:wordWrap/>
        <w:overflowPunct/>
        <w:topLinePunct w:val="0"/>
        <w:bidi w:val="0"/>
        <w:adjustRightInd w:val="0"/>
        <w:snapToGrid w:val="0"/>
        <w:spacing w:beforeLines="0" w:afterLines="0" w:line="580" w:lineRule="exact"/>
        <w:ind w:firstLine="643"/>
        <w:textAlignment w:val="auto"/>
        <w:rPr>
          <w:color w:val="auto"/>
          <w:highlight w:val="none"/>
          <w:lang w:val="en-GB"/>
        </w:rPr>
      </w:pPr>
      <w:r>
        <w:rPr>
          <w:b/>
          <w:color w:val="auto"/>
          <w:highlight w:val="none"/>
          <w:lang w:val="en-GB"/>
        </w:rPr>
        <w:t>重点引进企业。</w:t>
      </w:r>
      <w:r>
        <w:rPr>
          <w:color w:val="auto"/>
          <w:highlight w:val="none"/>
          <w:lang w:val="en-GB"/>
        </w:rPr>
        <w:t>通信与导航系统方面，重点引进成都天才微波、南京恩瑞特、北京华力创通等企业。航空控制系统方面，重点引进湖南山河科技、湖南星思科技、陕西西控电气、中国西非、成都凯天电子、成发科技等企业。客舱服务系统方面，重点引进北京航美、北京世纪空联、北京多尼卡星空联盟、北京喜乐航科技等企业。航空电子仪器仪表方面，重点引进西安中航电测仪器等企业。</w:t>
      </w:r>
    </w:p>
    <w:p>
      <w:pPr>
        <w:pageBreakBefore w:val="0"/>
        <w:widowControl w:val="0"/>
        <w:kinsoku/>
        <w:wordWrap/>
        <w:overflowPunct/>
        <w:topLinePunct w:val="0"/>
        <w:bidi w:val="0"/>
        <w:spacing w:beforeLines="0" w:afterLines="0" w:line="580" w:lineRule="exact"/>
        <w:ind w:firstLine="643"/>
        <w:jc w:val="left"/>
        <w:textAlignment w:val="auto"/>
        <w:outlineLvl w:val="2"/>
        <w:rPr>
          <w:b/>
          <w:color w:val="auto"/>
          <w:highlight w:val="none"/>
        </w:rPr>
      </w:pPr>
      <w:bookmarkStart w:id="128" w:name="_Toc88257153"/>
      <w:bookmarkStart w:id="129" w:name="_Toc644971188"/>
      <w:r>
        <w:rPr>
          <w:b/>
          <w:color w:val="auto"/>
          <w:highlight w:val="none"/>
        </w:rPr>
        <w:t>3、汽车电子</w:t>
      </w:r>
      <w:bookmarkEnd w:id="128"/>
      <w:bookmarkEnd w:id="129"/>
    </w:p>
    <w:p>
      <w:pPr>
        <w:keepNext/>
        <w:keepLines/>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lang w:val="en-GB"/>
        </w:rPr>
      </w:pPr>
      <w:r>
        <w:rPr>
          <w:b/>
          <w:bCs/>
          <w:color w:val="auto"/>
          <w:highlight w:val="none"/>
          <w:lang w:val="en-GB"/>
        </w:rPr>
        <w:t>（</w:t>
      </w:r>
      <w:r>
        <w:rPr>
          <w:b/>
          <w:bCs/>
          <w:color w:val="auto"/>
          <w:highlight w:val="none"/>
        </w:rPr>
        <w:t>1</w:t>
      </w:r>
      <w:r>
        <w:rPr>
          <w:b/>
          <w:bCs/>
          <w:color w:val="auto"/>
          <w:highlight w:val="none"/>
          <w:lang w:val="en-GB"/>
        </w:rPr>
        <w:t>）重点方向</w:t>
      </w:r>
    </w:p>
    <w:p>
      <w:pPr>
        <w:pageBreakBefore w:val="0"/>
        <w:widowControl w:val="0"/>
        <w:kinsoku/>
        <w:wordWrap/>
        <w:overflowPunct/>
        <w:topLinePunct w:val="0"/>
        <w:bidi w:val="0"/>
        <w:spacing w:beforeLines="0" w:afterLines="0" w:line="580" w:lineRule="exact"/>
        <w:ind w:firstLine="643"/>
        <w:textAlignment w:val="auto"/>
        <w:rPr>
          <w:bCs/>
          <w:color w:val="auto"/>
          <w:highlight w:val="none"/>
        </w:rPr>
      </w:pPr>
      <w:r>
        <w:rPr>
          <w:b/>
          <w:color w:val="auto"/>
          <w:highlight w:val="none"/>
        </w:rPr>
        <w:t>核心零部件。</w:t>
      </w:r>
      <w:r>
        <w:rPr>
          <w:bCs/>
          <w:color w:val="auto"/>
          <w:highlight w:val="none"/>
        </w:rPr>
        <w:t>推动车规级芯片、功率半导体等核心零部件率先突破。</w:t>
      </w:r>
      <w:r>
        <w:rPr>
          <w:b/>
          <w:color w:val="auto"/>
          <w:highlight w:val="none"/>
        </w:rPr>
        <w:t>芯片领域</w:t>
      </w:r>
      <w:r>
        <w:rPr>
          <w:bCs/>
          <w:color w:val="auto"/>
          <w:highlight w:val="none"/>
        </w:rPr>
        <w:t>，以搭建通用智能计算平台为抓手，推动汽车智能计算平台硬件实现路径由板级集成逐渐向芯片集成过渡，突破车规级AI计算芯片，引导江铃汽车等整车企业加大国产车载芯片的使用力度。</w:t>
      </w:r>
      <w:r>
        <w:rPr>
          <w:b/>
          <w:color w:val="auto"/>
          <w:highlight w:val="none"/>
        </w:rPr>
        <w:t>功率半导体领域</w:t>
      </w:r>
      <w:r>
        <w:rPr>
          <w:bCs/>
          <w:color w:val="auto"/>
          <w:highlight w:val="none"/>
        </w:rPr>
        <w:t>，以新能源汽车充电桩建设为契机，带动以功率半导体（IGBT）、功率MOSFET、继电器、整车控制、电控系统等为代表的汽车电子使用场景逐渐增加。以基于5G车路协同车联网的建设为切入点，激活车载通信模块市场。</w:t>
      </w:r>
      <w:r>
        <w:rPr>
          <w:b/>
          <w:color w:val="auto"/>
          <w:highlight w:val="none"/>
        </w:rPr>
        <w:t>传感器领域</w:t>
      </w:r>
      <w:r>
        <w:rPr>
          <w:bCs/>
          <w:color w:val="auto"/>
          <w:highlight w:val="none"/>
        </w:rPr>
        <w:t>，发展以激光雷达、毫米波雷达等为核心的多传感器融合，以胜任自动驾驶的复杂情况与安全冗余。积极推进激光雷达规模化量产，降低激光雷达成本。</w:t>
      </w:r>
    </w:p>
    <w:p>
      <w:pPr>
        <w:pageBreakBefore w:val="0"/>
        <w:widowControl w:val="0"/>
        <w:kinsoku/>
        <w:wordWrap/>
        <w:overflowPunct/>
        <w:topLinePunct w:val="0"/>
        <w:bidi w:val="0"/>
        <w:spacing w:beforeLines="0" w:afterLines="0" w:line="580" w:lineRule="exact"/>
        <w:ind w:firstLine="643"/>
        <w:textAlignment w:val="auto"/>
        <w:rPr>
          <w:bCs/>
          <w:color w:val="auto"/>
          <w:highlight w:val="none"/>
        </w:rPr>
      </w:pPr>
      <w:r>
        <w:rPr>
          <w:b/>
          <w:color w:val="auto"/>
          <w:highlight w:val="none"/>
        </w:rPr>
        <w:t>技术应用</w:t>
      </w:r>
      <w:r>
        <w:rPr>
          <w:bCs/>
          <w:color w:val="auto"/>
          <w:highlight w:val="none"/>
        </w:rPr>
        <w:t>。</w:t>
      </w:r>
      <w:r>
        <w:rPr>
          <w:b/>
          <w:color w:val="auto"/>
          <w:highlight w:val="none"/>
        </w:rPr>
        <w:t>车联网领域</w:t>
      </w:r>
      <w:r>
        <w:rPr>
          <w:bCs/>
          <w:color w:val="auto"/>
          <w:highlight w:val="none"/>
        </w:rPr>
        <w:t>，面向自动驾驶应用需求，前瞻布局基于5G的车路协同车联网，鼓励基于V2X的车联网产业加快发展，推动相关测试验证工作，支持龙头企业合作开展5G-V2X技术研发和标准制定工作。</w:t>
      </w:r>
      <w:r>
        <w:rPr>
          <w:b/>
          <w:color w:val="auto"/>
          <w:highlight w:val="none"/>
        </w:rPr>
        <w:t>车载智能计算机平台领域</w:t>
      </w:r>
      <w:r>
        <w:rPr>
          <w:bCs/>
          <w:color w:val="auto"/>
          <w:highlight w:val="none"/>
        </w:rPr>
        <w:t>，将车载AI芯片、模组、接口等分立元器件以及操作系统、基础应用程序等软件进行系统集成，实施软硬件协同开发，及早发现和解决系统设计的问题。</w:t>
      </w:r>
      <w:r>
        <w:rPr>
          <w:b/>
          <w:color w:val="auto"/>
          <w:highlight w:val="none"/>
        </w:rPr>
        <w:t>自动驾驶测试技术领域</w:t>
      </w:r>
      <w:r>
        <w:rPr>
          <w:bCs/>
          <w:color w:val="auto"/>
          <w:highlight w:val="none"/>
        </w:rPr>
        <w:t>，基于封闭场地测试，测试项目覆盖各种典型交通环境，并通过常规测试和智能测试，实现在封闭场地中多样性测试和复杂场景的柔性测试。基于模拟仿真测试，建立完善即时的测试与研发数据共享渠道，完善海量测试场景库，完善模拟道路、交通场景和传感器信息库，构建统一数据标准和格式的测试场景库，实现跨软件平台、跨企业间的测试。</w:t>
      </w:r>
    </w:p>
    <w:p>
      <w:pPr>
        <w:keepNext/>
        <w:keepLines/>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rPr>
      </w:pPr>
      <w:r>
        <w:rPr>
          <w:b/>
          <w:bCs/>
          <w:color w:val="auto"/>
          <w:highlight w:val="none"/>
          <w:lang w:val="en-GB"/>
        </w:rPr>
        <w:t>（</w:t>
      </w:r>
      <w:r>
        <w:rPr>
          <w:b/>
          <w:bCs/>
          <w:color w:val="auto"/>
          <w:highlight w:val="none"/>
        </w:rPr>
        <w:t>2</w:t>
      </w:r>
      <w:r>
        <w:rPr>
          <w:b/>
          <w:bCs/>
          <w:color w:val="auto"/>
          <w:highlight w:val="none"/>
          <w:lang w:val="en-GB"/>
        </w:rPr>
        <w:t>）</w:t>
      </w:r>
      <w:r>
        <w:rPr>
          <w:b/>
          <w:bCs/>
          <w:color w:val="auto"/>
          <w:highlight w:val="none"/>
        </w:rPr>
        <w:t>发展路径</w:t>
      </w:r>
    </w:p>
    <w:p>
      <w:pPr>
        <w:pageBreakBefore w:val="0"/>
        <w:widowControl w:val="0"/>
        <w:kinsoku/>
        <w:wordWrap/>
        <w:overflowPunct/>
        <w:topLinePunct w:val="0"/>
        <w:bidi w:val="0"/>
        <w:spacing w:beforeLines="0" w:afterLines="0" w:line="580" w:lineRule="exact"/>
        <w:textAlignment w:val="auto"/>
        <w:rPr>
          <w:bCs/>
          <w:color w:val="auto"/>
          <w:highlight w:val="none"/>
        </w:rPr>
      </w:pPr>
      <w:r>
        <w:rPr>
          <w:bCs/>
          <w:color w:val="auto"/>
          <w:highlight w:val="none"/>
        </w:rPr>
        <w:t>首先实现机场、工业园区和旅游景区等相对封闭区域内的摆渡车、集装箱运输车、重载卡车以及接驳车等各类示范应用先行，在应用示范中进一步推动与公交、出租车、共享出行等传统汽车产业的跨界融合。随着市场服务体系的逐步建立以及产业生态的逐步完善，智能网联相关的汽车电子产品在整车中的渗透率将加速提升，由消费者购车的选装项逐步转变为必备项。</w:t>
      </w:r>
    </w:p>
    <w:p>
      <w:pPr>
        <w:keepNext/>
        <w:keepLines/>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lang w:val="en-GB"/>
        </w:rPr>
      </w:pPr>
      <w:r>
        <w:rPr>
          <w:b/>
          <w:bCs/>
          <w:color w:val="auto"/>
          <w:highlight w:val="none"/>
          <w:lang w:val="en-GB"/>
        </w:rPr>
        <w:t>（</w:t>
      </w:r>
      <w:r>
        <w:rPr>
          <w:b/>
          <w:bCs/>
          <w:color w:val="auto"/>
          <w:highlight w:val="none"/>
        </w:rPr>
        <w:t>3</w:t>
      </w:r>
      <w:r>
        <w:rPr>
          <w:b/>
          <w:bCs/>
          <w:color w:val="auto"/>
          <w:highlight w:val="none"/>
          <w:lang w:val="en-GB"/>
        </w:rPr>
        <w:t>）重点企业</w:t>
      </w:r>
    </w:p>
    <w:p>
      <w:pPr>
        <w:pageBreakBefore w:val="0"/>
        <w:widowControl w:val="0"/>
        <w:kinsoku/>
        <w:wordWrap/>
        <w:overflowPunct/>
        <w:topLinePunct w:val="0"/>
        <w:bidi w:val="0"/>
        <w:spacing w:beforeLines="0" w:afterLines="0" w:line="580" w:lineRule="exact"/>
        <w:ind w:firstLine="643"/>
        <w:textAlignment w:val="auto"/>
        <w:rPr>
          <w:color w:val="auto"/>
          <w:highlight w:val="none"/>
        </w:rPr>
      </w:pPr>
      <w:r>
        <w:rPr>
          <w:b/>
          <w:color w:val="auto"/>
          <w:highlight w:val="none"/>
        </w:rPr>
        <w:t>重点引进企业。</w:t>
      </w:r>
      <w:r>
        <w:rPr>
          <w:color w:val="auto"/>
          <w:highlight w:val="none"/>
        </w:rPr>
        <w:t>重点引进百度、腾讯、斑马网络、千方科技、清研宏达、启迪科技、京金华、航盛电子、德赛西威、均胜电子、泽景电子、京龙睿信、远特科技等企业。</w:t>
      </w:r>
    </w:p>
    <w:p>
      <w:pPr>
        <w:pageBreakBefore w:val="0"/>
        <w:widowControl w:val="0"/>
        <w:kinsoku/>
        <w:wordWrap/>
        <w:overflowPunct/>
        <w:topLinePunct w:val="0"/>
        <w:bidi w:val="0"/>
        <w:spacing w:beforeLines="0" w:afterLines="0" w:line="580" w:lineRule="exact"/>
        <w:ind w:firstLine="643"/>
        <w:jc w:val="left"/>
        <w:textAlignment w:val="auto"/>
        <w:outlineLvl w:val="2"/>
        <w:rPr>
          <w:b/>
          <w:color w:val="auto"/>
          <w:highlight w:val="none"/>
        </w:rPr>
      </w:pPr>
      <w:bookmarkStart w:id="130" w:name="_Toc1259202425"/>
      <w:bookmarkStart w:id="131" w:name="_Toc88257154"/>
      <w:r>
        <w:rPr>
          <w:b/>
          <w:color w:val="auto"/>
          <w:highlight w:val="none"/>
        </w:rPr>
        <w:t>4、</w:t>
      </w:r>
      <w:r>
        <w:rPr>
          <w:rFonts w:hint="eastAsia"/>
          <w:b/>
          <w:color w:val="auto"/>
          <w:highlight w:val="none"/>
        </w:rPr>
        <w:t>北斗应用</w:t>
      </w:r>
      <w:bookmarkEnd w:id="130"/>
      <w:bookmarkEnd w:id="131"/>
    </w:p>
    <w:p>
      <w:pPr>
        <w:keepNext/>
        <w:keepLines/>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lang w:val="en-GB"/>
        </w:rPr>
      </w:pPr>
      <w:r>
        <w:rPr>
          <w:b/>
          <w:bCs/>
          <w:color w:val="auto"/>
          <w:highlight w:val="none"/>
          <w:lang w:val="en-GB"/>
        </w:rPr>
        <w:t>（</w:t>
      </w:r>
      <w:r>
        <w:rPr>
          <w:b/>
          <w:bCs/>
          <w:color w:val="auto"/>
          <w:highlight w:val="none"/>
        </w:rPr>
        <w:t>1</w:t>
      </w:r>
      <w:r>
        <w:rPr>
          <w:b/>
          <w:bCs/>
          <w:color w:val="auto"/>
          <w:highlight w:val="none"/>
          <w:lang w:val="en-GB"/>
        </w:rPr>
        <w:t>）重点方向</w:t>
      </w:r>
    </w:p>
    <w:p>
      <w:pPr>
        <w:pStyle w:val="38"/>
        <w:pageBreakBefore w:val="0"/>
        <w:widowControl w:val="0"/>
        <w:kinsoku/>
        <w:wordWrap/>
        <w:overflowPunct/>
        <w:topLinePunct w:val="0"/>
        <w:bidi w:val="0"/>
        <w:spacing w:beforeLines="0" w:after="0" w:afterLines="0" w:line="580" w:lineRule="exact"/>
        <w:ind w:firstLine="643"/>
        <w:textAlignment w:val="auto"/>
        <w:rPr>
          <w:rFonts w:eastAsia="仿宋_GB2312"/>
          <w:color w:val="auto"/>
          <w:kern w:val="2"/>
          <w:sz w:val="32"/>
          <w:szCs w:val="32"/>
          <w:highlight w:val="none"/>
        </w:rPr>
      </w:pPr>
      <w:r>
        <w:rPr>
          <w:rFonts w:hint="eastAsia" w:eastAsia="仿宋_GB2312"/>
          <w:b/>
          <w:color w:val="auto"/>
          <w:kern w:val="2"/>
          <w:sz w:val="32"/>
          <w:szCs w:val="32"/>
          <w:highlight w:val="none"/>
        </w:rPr>
        <w:t>推动北斗芯片、模组及终端系列产品研发制造。</w:t>
      </w:r>
      <w:r>
        <w:rPr>
          <w:rFonts w:hint="eastAsia" w:eastAsia="仿宋_GB2312"/>
          <w:color w:val="auto"/>
          <w:kern w:val="2"/>
          <w:sz w:val="32"/>
          <w:szCs w:val="32"/>
          <w:highlight w:val="none"/>
        </w:rPr>
        <w:t>积极研制基于北斗高精度定位的车载智能终端芯片及智能应用解决方案。加强与手机芯片企业合作，研发基于北斗的4G/5G手机芯片及智能化系统芯片。加大基于北斗的民生领域智能应用芯片和智能终端产品创新，推出文化、教育、卫生等智能服务终端，丰富北斗智能终端系列产品。</w:t>
      </w:r>
    </w:p>
    <w:p>
      <w:pPr>
        <w:pStyle w:val="38"/>
        <w:pageBreakBefore w:val="0"/>
        <w:widowControl w:val="0"/>
        <w:kinsoku/>
        <w:wordWrap/>
        <w:overflowPunct/>
        <w:topLinePunct w:val="0"/>
        <w:bidi w:val="0"/>
        <w:spacing w:beforeLines="0" w:after="0" w:afterLines="0" w:line="580" w:lineRule="exact"/>
        <w:ind w:firstLine="643"/>
        <w:textAlignment w:val="auto"/>
        <w:rPr>
          <w:rFonts w:eastAsia="仿宋_GB2312"/>
          <w:color w:val="auto"/>
          <w:kern w:val="2"/>
          <w:sz w:val="32"/>
          <w:szCs w:val="32"/>
          <w:highlight w:val="none"/>
        </w:rPr>
      </w:pPr>
      <w:r>
        <w:rPr>
          <w:rFonts w:hint="eastAsia" w:eastAsia="仿宋_GB2312"/>
          <w:b/>
          <w:color w:val="auto"/>
          <w:kern w:val="2"/>
          <w:sz w:val="32"/>
          <w:szCs w:val="32"/>
          <w:highlight w:val="none"/>
        </w:rPr>
        <w:t>推动北斗与相关产业深度</w:t>
      </w:r>
      <w:r>
        <w:rPr>
          <w:rFonts w:eastAsia="仿宋_GB2312"/>
          <w:b/>
          <w:color w:val="auto"/>
          <w:kern w:val="2"/>
          <w:sz w:val="32"/>
          <w:szCs w:val="32"/>
          <w:highlight w:val="none"/>
        </w:rPr>
        <w:t>融合应用。</w:t>
      </w:r>
      <w:r>
        <w:rPr>
          <w:rFonts w:hint="eastAsia" w:eastAsia="仿宋_GB2312"/>
          <w:color w:val="auto"/>
          <w:kern w:val="2"/>
          <w:sz w:val="32"/>
          <w:szCs w:val="32"/>
          <w:highlight w:val="none"/>
        </w:rPr>
        <w:t>重点发展“北斗+通航”、“北斗+低空经济”、“北斗+VR”等具有江西及南昌特色的北斗融合应用产业。发展“北斗+AI”融合应用，创新智能无人机应用，提供实时精准导航定位服务，利用北斗短报文功能增强无人机突发事件处理能力。发展“北斗+5G”位置综合服务，为各应用领域提供基于北斗通信导航一体化定制服务。加快开展智慧城市、智能电网、防灾减灾、精细农业等基于北斗的智能化应用服务，形成北斗产业发展的示范效应。</w:t>
      </w:r>
    </w:p>
    <w:p>
      <w:pPr>
        <w:keepNext/>
        <w:keepLines/>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lang w:val="en-GB"/>
        </w:rPr>
      </w:pPr>
      <w:r>
        <w:rPr>
          <w:b/>
          <w:bCs/>
          <w:color w:val="auto"/>
          <w:highlight w:val="none"/>
          <w:lang w:val="en-GB"/>
        </w:rPr>
        <w:t>（</w:t>
      </w:r>
      <w:r>
        <w:rPr>
          <w:b/>
          <w:bCs/>
          <w:color w:val="auto"/>
          <w:highlight w:val="none"/>
        </w:rPr>
        <w:t>2</w:t>
      </w:r>
      <w:r>
        <w:rPr>
          <w:b/>
          <w:bCs/>
          <w:color w:val="auto"/>
          <w:highlight w:val="none"/>
          <w:lang w:val="en-GB"/>
        </w:rPr>
        <w:t>）</w:t>
      </w:r>
      <w:r>
        <w:rPr>
          <w:rFonts w:hint="eastAsia"/>
          <w:b/>
          <w:bCs/>
          <w:color w:val="auto"/>
          <w:highlight w:val="none"/>
          <w:lang w:val="en-GB"/>
        </w:rPr>
        <w:t>发展路径</w:t>
      </w:r>
    </w:p>
    <w:p>
      <w:pPr>
        <w:pStyle w:val="38"/>
        <w:pageBreakBefore w:val="0"/>
        <w:widowControl w:val="0"/>
        <w:kinsoku/>
        <w:wordWrap/>
        <w:overflowPunct/>
        <w:topLinePunct w:val="0"/>
        <w:bidi w:val="0"/>
        <w:spacing w:beforeLines="0" w:after="0" w:afterLines="0" w:line="580" w:lineRule="exact"/>
        <w:textAlignment w:val="auto"/>
        <w:rPr>
          <w:rFonts w:eastAsia="仿宋_GB2312"/>
          <w:color w:val="auto"/>
          <w:kern w:val="2"/>
          <w:sz w:val="32"/>
          <w:szCs w:val="32"/>
          <w:highlight w:val="none"/>
        </w:rPr>
      </w:pPr>
      <w:r>
        <w:rPr>
          <w:rFonts w:eastAsia="仿宋_GB2312"/>
          <w:color w:val="auto"/>
          <w:kern w:val="2"/>
          <w:sz w:val="32"/>
          <w:szCs w:val="32"/>
          <w:highlight w:val="none"/>
        </w:rPr>
        <w:t>依托</w:t>
      </w:r>
      <w:r>
        <w:rPr>
          <w:rFonts w:hint="eastAsia" w:eastAsia="仿宋_GB2312"/>
          <w:color w:val="auto"/>
          <w:kern w:val="2"/>
          <w:sz w:val="32"/>
          <w:szCs w:val="32"/>
          <w:highlight w:val="none"/>
        </w:rPr>
        <w:t>北斗科技产业园、江西北斗应用研究院等产业及研究载体，积极推动国内外知名企业在昌设立研发总部，打造芯片及智能终端研发制造基地，着力研制满足市场需求的北斗芯片及智能终端产品。加强与中央军工集团的战略合作，推动相关北斗项目落户南昌。抢抓北斗三号区域应用示范项目等重大专项示范机遇，争取国家有关部门支持，推动北斗综合应用迈入高质量发展阶段。</w:t>
      </w:r>
    </w:p>
    <w:p>
      <w:pPr>
        <w:keepNext/>
        <w:keepLines/>
        <w:pageBreakBefore w:val="0"/>
        <w:widowControl w:val="0"/>
        <w:kinsoku/>
        <w:wordWrap/>
        <w:overflowPunct/>
        <w:topLinePunct w:val="0"/>
        <w:bidi w:val="0"/>
        <w:spacing w:beforeLines="0" w:afterLines="0" w:line="580" w:lineRule="exact"/>
        <w:ind w:firstLine="643"/>
        <w:textAlignment w:val="auto"/>
        <w:outlineLvl w:val="3"/>
        <w:rPr>
          <w:b/>
          <w:bCs/>
          <w:color w:val="auto"/>
          <w:highlight w:val="none"/>
          <w:lang w:val="en-GB"/>
        </w:rPr>
      </w:pPr>
      <w:r>
        <w:rPr>
          <w:b/>
          <w:bCs/>
          <w:color w:val="auto"/>
          <w:highlight w:val="none"/>
          <w:lang w:val="en-GB"/>
        </w:rPr>
        <w:t>（</w:t>
      </w:r>
      <w:r>
        <w:rPr>
          <w:b/>
          <w:bCs/>
          <w:color w:val="auto"/>
          <w:highlight w:val="none"/>
        </w:rPr>
        <w:t>3</w:t>
      </w:r>
      <w:r>
        <w:rPr>
          <w:b/>
          <w:bCs/>
          <w:color w:val="auto"/>
          <w:highlight w:val="none"/>
          <w:lang w:val="en-GB"/>
        </w:rPr>
        <w:t>）重点</w:t>
      </w:r>
      <w:r>
        <w:rPr>
          <w:rFonts w:hint="eastAsia"/>
          <w:b/>
          <w:bCs/>
          <w:color w:val="auto"/>
          <w:highlight w:val="none"/>
          <w:lang w:val="en-GB"/>
        </w:rPr>
        <w:t>企业</w:t>
      </w:r>
    </w:p>
    <w:p>
      <w:pPr>
        <w:pStyle w:val="38"/>
        <w:pageBreakBefore w:val="0"/>
        <w:widowControl w:val="0"/>
        <w:kinsoku/>
        <w:wordWrap/>
        <w:overflowPunct/>
        <w:topLinePunct w:val="0"/>
        <w:bidi w:val="0"/>
        <w:spacing w:beforeLines="0" w:after="0" w:afterLines="0" w:line="580" w:lineRule="exact"/>
        <w:ind w:firstLine="643"/>
        <w:textAlignment w:val="auto"/>
        <w:rPr>
          <w:rFonts w:eastAsia="仿宋_GB2312"/>
          <w:b/>
          <w:color w:val="auto"/>
          <w:kern w:val="2"/>
          <w:sz w:val="32"/>
          <w:szCs w:val="32"/>
          <w:highlight w:val="none"/>
        </w:rPr>
      </w:pPr>
      <w:r>
        <w:rPr>
          <w:rFonts w:eastAsia="仿宋_GB2312"/>
          <w:b/>
          <w:color w:val="auto"/>
          <w:kern w:val="2"/>
          <w:sz w:val="32"/>
          <w:szCs w:val="32"/>
          <w:highlight w:val="none"/>
        </w:rPr>
        <w:t>重点引进企业。</w:t>
      </w:r>
      <w:r>
        <w:rPr>
          <w:rFonts w:eastAsia="仿宋_GB2312"/>
          <w:color w:val="auto"/>
          <w:kern w:val="2"/>
          <w:sz w:val="32"/>
          <w:szCs w:val="32"/>
          <w:highlight w:val="none"/>
        </w:rPr>
        <w:t>重点引进海格通信、耐威科技、复旦微电子、中电科</w:t>
      </w:r>
      <w:r>
        <w:rPr>
          <w:rFonts w:hint="eastAsia" w:eastAsia="仿宋_GB2312"/>
          <w:color w:val="auto"/>
          <w:kern w:val="2"/>
          <w:sz w:val="32"/>
          <w:szCs w:val="32"/>
          <w:highlight w:val="none"/>
        </w:rPr>
        <w:t>24所、河北晶禾等芯片企业；</w:t>
      </w:r>
      <w:r>
        <w:rPr>
          <w:rFonts w:eastAsia="仿宋_GB2312"/>
          <w:color w:val="auto"/>
          <w:kern w:val="2"/>
          <w:sz w:val="32"/>
          <w:szCs w:val="32"/>
          <w:highlight w:val="none"/>
        </w:rPr>
        <w:t>华信天线、中海达、海格通信、</w:t>
      </w:r>
      <w:r>
        <w:rPr>
          <w:rFonts w:hint="eastAsia" w:eastAsia="仿宋_GB2312"/>
          <w:color w:val="auto"/>
          <w:kern w:val="2"/>
          <w:sz w:val="32"/>
          <w:szCs w:val="32"/>
          <w:highlight w:val="none"/>
        </w:rPr>
        <w:t>司南导航、北斗星通、中科微电子、</w:t>
      </w:r>
      <w:r>
        <w:rPr>
          <w:rFonts w:eastAsia="仿宋_GB2312"/>
          <w:color w:val="auto"/>
          <w:kern w:val="2"/>
          <w:sz w:val="32"/>
          <w:szCs w:val="32"/>
          <w:highlight w:val="none"/>
        </w:rPr>
        <w:t>合众思壮、</w:t>
      </w:r>
      <w:r>
        <w:rPr>
          <w:rFonts w:hint="eastAsia" w:eastAsia="仿宋_GB2312"/>
          <w:color w:val="auto"/>
          <w:kern w:val="2"/>
          <w:sz w:val="32"/>
          <w:szCs w:val="32"/>
          <w:highlight w:val="none"/>
        </w:rPr>
        <w:t>华力创通、华测导航、中电26所、深圳麦杰、无锡好达等天线及滤波器模组企业；ST大唐、南京熊猫、长江通信、千寻位置等终端应用及解决方案企业。</w:t>
      </w:r>
    </w:p>
    <w:p>
      <w:pPr>
        <w:pageBreakBefore w:val="0"/>
        <w:widowControl w:val="0"/>
        <w:kinsoku/>
        <w:wordWrap/>
        <w:overflowPunct/>
        <w:topLinePunct w:val="0"/>
        <w:bidi w:val="0"/>
        <w:spacing w:beforeLines="0" w:afterLines="0" w:line="580" w:lineRule="exact"/>
        <w:textAlignment w:val="auto"/>
        <w:outlineLvl w:val="0"/>
        <w:rPr>
          <w:rFonts w:eastAsia="黑体"/>
          <w:bCs/>
          <w:color w:val="auto"/>
          <w:kern w:val="44"/>
          <w:highlight w:val="none"/>
        </w:rPr>
      </w:pPr>
      <w:bookmarkStart w:id="132" w:name="_Toc88257155"/>
      <w:bookmarkStart w:id="133" w:name="_Toc1024689451"/>
      <w:bookmarkStart w:id="134" w:name="_Toc15296"/>
      <w:bookmarkStart w:id="135" w:name="_Toc9465"/>
      <w:bookmarkStart w:id="136" w:name="_Toc23807"/>
      <w:r>
        <w:rPr>
          <w:rFonts w:eastAsia="黑体"/>
          <w:bCs/>
          <w:color w:val="auto"/>
          <w:kern w:val="44"/>
          <w:highlight w:val="none"/>
        </w:rPr>
        <w:t>五、产业布局</w:t>
      </w:r>
      <w:bookmarkEnd w:id="132"/>
      <w:bookmarkEnd w:id="133"/>
    </w:p>
    <w:p>
      <w:pPr>
        <w:pageBreakBefore w:val="0"/>
        <w:widowControl w:val="0"/>
        <w:kinsoku/>
        <w:wordWrap/>
        <w:overflowPunct/>
        <w:topLinePunct w:val="0"/>
        <w:bidi w:val="0"/>
        <w:spacing w:beforeLines="0" w:afterLines="0" w:line="580" w:lineRule="exact"/>
        <w:ind w:firstLine="643"/>
        <w:textAlignment w:val="auto"/>
        <w:outlineLvl w:val="1"/>
        <w:rPr>
          <w:rFonts w:eastAsia="楷体_GB2312"/>
          <w:b/>
          <w:color w:val="auto"/>
          <w:highlight w:val="none"/>
        </w:rPr>
      </w:pPr>
      <w:bookmarkStart w:id="137" w:name="_Toc88257156"/>
      <w:bookmarkStart w:id="138" w:name="_Toc247310982"/>
      <w:r>
        <w:rPr>
          <w:rFonts w:eastAsia="楷体_GB2312"/>
          <w:b/>
          <w:color w:val="auto"/>
          <w:highlight w:val="none"/>
        </w:rPr>
        <w:t>（一）总体布局</w:t>
      </w:r>
      <w:bookmarkEnd w:id="137"/>
      <w:bookmarkEnd w:id="138"/>
    </w:p>
    <w:p>
      <w:pPr>
        <w:pageBreakBefore w:val="0"/>
        <w:widowControl w:val="0"/>
        <w:kinsoku/>
        <w:wordWrap/>
        <w:overflowPunct/>
        <w:topLinePunct w:val="0"/>
        <w:bidi w:val="0"/>
        <w:spacing w:beforeLines="0" w:afterLines="0" w:line="580" w:lineRule="exact"/>
        <w:textAlignment w:val="auto"/>
        <w:rPr>
          <w:color w:val="auto"/>
          <w:highlight w:val="none"/>
        </w:rPr>
      </w:pPr>
      <w:r>
        <w:rPr>
          <w:rFonts w:hint="eastAsia"/>
          <w:color w:val="auto"/>
          <w:highlight w:val="none"/>
        </w:rPr>
        <w:t>贯彻京九（江西）电子信息产业带总体布局，进一步强化南昌在全省的核心地位，打造以高新区、经开区为核心集聚区，以红谷滩区为创新引领区，以新建区、青山湖区、南昌县（小蓝经开区）、进贤县等为配套支撑区，各县区错位发展、优势互补的“两核一新、多点配套”总体产业格局。</w:t>
      </w:r>
    </w:p>
    <w:p>
      <w:pPr>
        <w:pageBreakBefore w:val="0"/>
        <w:widowControl w:val="0"/>
        <w:kinsoku/>
        <w:wordWrap/>
        <w:overflowPunct/>
        <w:topLinePunct w:val="0"/>
        <w:bidi w:val="0"/>
        <w:spacing w:beforeLines="0" w:afterLines="0" w:line="580" w:lineRule="exact"/>
        <w:ind w:firstLine="643"/>
        <w:textAlignment w:val="auto"/>
        <w:outlineLvl w:val="1"/>
        <w:rPr>
          <w:rFonts w:eastAsia="楷体_GB2312"/>
          <w:b/>
          <w:color w:val="auto"/>
          <w:highlight w:val="none"/>
        </w:rPr>
      </w:pPr>
      <w:bookmarkStart w:id="139" w:name="_Toc604550593"/>
      <w:bookmarkStart w:id="140" w:name="_Toc88257157"/>
      <w:r>
        <w:rPr>
          <w:rFonts w:eastAsia="楷体_GB2312"/>
          <w:b/>
          <w:color w:val="auto"/>
          <w:highlight w:val="none"/>
        </w:rPr>
        <w:t>（二）各区县布局</w:t>
      </w:r>
      <w:bookmarkEnd w:id="139"/>
      <w:bookmarkEnd w:id="140"/>
    </w:p>
    <w:p>
      <w:pPr>
        <w:pageBreakBefore w:val="0"/>
        <w:widowControl w:val="0"/>
        <w:kinsoku/>
        <w:wordWrap/>
        <w:overflowPunct/>
        <w:topLinePunct w:val="0"/>
        <w:bidi w:val="0"/>
        <w:spacing w:beforeLines="0" w:afterLines="0" w:line="580" w:lineRule="exact"/>
        <w:textAlignment w:val="auto"/>
        <w:rPr>
          <w:color w:val="auto"/>
          <w:highlight w:val="none"/>
        </w:rPr>
      </w:pPr>
      <w:r>
        <w:rPr>
          <w:rFonts w:eastAsia="黑体"/>
          <w:color w:val="auto"/>
          <w:highlight w:val="none"/>
        </w:rPr>
        <w:t>高新区</w:t>
      </w:r>
      <w:r>
        <w:rPr>
          <w:rFonts w:hint="eastAsia"/>
          <w:color w:val="auto"/>
          <w:highlight w:val="none"/>
        </w:rPr>
        <w:t>主攻移动智能终端、LED、汽车电子产业，不断延链补链强链，构建完善产业生态圈，打造全国重要的电子信息产业基地。积极培育VR、5G、工业互联网、航空电子等新兴产业，引进行业龙头企业和科研团队，提升南昌市电子信息产业基础研究实力</w:t>
      </w:r>
      <w:r>
        <w:rPr>
          <w:color w:val="auto"/>
          <w:highlight w:val="none"/>
        </w:rPr>
        <w:t>。</w:t>
      </w:r>
    </w:p>
    <w:p>
      <w:pPr>
        <w:pageBreakBefore w:val="0"/>
        <w:widowControl w:val="0"/>
        <w:kinsoku/>
        <w:wordWrap/>
        <w:overflowPunct/>
        <w:topLinePunct w:val="0"/>
        <w:bidi w:val="0"/>
        <w:spacing w:beforeLines="0" w:afterLines="0" w:line="580" w:lineRule="exact"/>
        <w:textAlignment w:val="auto"/>
        <w:rPr>
          <w:color w:val="auto"/>
          <w:highlight w:val="none"/>
        </w:rPr>
      </w:pPr>
      <w:r>
        <w:rPr>
          <w:rFonts w:eastAsia="黑体"/>
          <w:color w:val="auto"/>
          <w:highlight w:val="none"/>
        </w:rPr>
        <w:t>红谷滩区</w:t>
      </w:r>
      <w:r>
        <w:rPr>
          <w:rFonts w:hint="eastAsia"/>
          <w:color w:val="auto"/>
          <w:highlight w:val="none"/>
        </w:rPr>
        <w:t>主攻VR、5G、云计算与大数据等新兴产业，重点引进一批新兴产业头部企业区域总部和VR企业全国总部，在医疗、教育、文娱等领域开展创新应用和成果转化，打造具有南昌特色的泛VR产业生态链</w:t>
      </w:r>
      <w:r>
        <w:rPr>
          <w:color w:val="auto"/>
          <w:highlight w:val="none"/>
        </w:rPr>
        <w:t>。</w:t>
      </w:r>
    </w:p>
    <w:p>
      <w:pPr>
        <w:pageBreakBefore w:val="0"/>
        <w:widowControl w:val="0"/>
        <w:kinsoku/>
        <w:wordWrap/>
        <w:overflowPunct/>
        <w:topLinePunct w:val="0"/>
        <w:bidi w:val="0"/>
        <w:spacing w:beforeLines="0" w:afterLines="0" w:line="580" w:lineRule="exact"/>
        <w:textAlignment w:val="auto"/>
        <w:rPr>
          <w:color w:val="auto"/>
          <w:highlight w:val="none"/>
        </w:rPr>
      </w:pPr>
      <w:r>
        <w:rPr>
          <w:rFonts w:eastAsia="黑体"/>
          <w:color w:val="auto"/>
          <w:highlight w:val="none"/>
        </w:rPr>
        <w:t>经开区（含临空区）</w:t>
      </w:r>
      <w:r>
        <w:rPr>
          <w:rFonts w:hint="eastAsia"/>
          <w:color w:val="auto"/>
          <w:highlight w:val="none"/>
        </w:rPr>
        <w:t>主攻移动智能终端、LED、汽车电子产业，侧重发展移动智能终端品牌和核心零部件，LED终端应用产品，同时大力发展新型显示、电子材料、能量光电子芯片（太阳电池芯片、激光器芯片）、电子元器件、机器人、智能设备、北斗导航、航空电子等产业，积极布局VR、工业互联网、物联网、大数据与云计算等新兴产业</w:t>
      </w:r>
      <w:r>
        <w:rPr>
          <w:color w:val="auto"/>
          <w:highlight w:val="none"/>
        </w:rPr>
        <w:t>。</w:t>
      </w:r>
    </w:p>
    <w:p>
      <w:pPr>
        <w:pStyle w:val="2"/>
        <w:pageBreakBefore w:val="0"/>
        <w:widowControl w:val="0"/>
        <w:kinsoku/>
        <w:wordWrap/>
        <w:overflowPunct/>
        <w:topLinePunct w:val="0"/>
        <w:bidi w:val="0"/>
        <w:spacing w:beforeLines="0" w:afterLines="0" w:line="580"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eastAsia="黑体"/>
          <w:color w:val="auto"/>
          <w:sz w:val="32"/>
          <w:szCs w:val="32"/>
          <w:highlight w:val="none"/>
        </w:rPr>
        <w:t>新建区、青山湖区、南昌县（小蓝经开区）、进贤县等县区</w:t>
      </w:r>
      <w:r>
        <w:rPr>
          <w:rFonts w:hint="eastAsia" w:ascii="Times New Roman" w:hAnsi="Times New Roman" w:eastAsia="仿宋_GB2312" w:cs="Times New Roman"/>
          <w:color w:val="auto"/>
          <w:kern w:val="2"/>
          <w:sz w:val="32"/>
          <w:szCs w:val="32"/>
          <w:highlight w:val="none"/>
          <w:lang w:val="en-US" w:eastAsia="zh-CN" w:bidi="ar-SA"/>
        </w:rPr>
        <w:t>重点围绕“两核一新”做好配套支撑，积极拓展移动智能终端、LED、VR、5G产业链。并根据本地资源禀赋，发展独具特色的电子信息细分产业。</w:t>
      </w:r>
    </w:p>
    <w:p>
      <w:pPr>
        <w:pageBreakBefore w:val="0"/>
        <w:widowControl w:val="0"/>
        <w:kinsoku/>
        <w:wordWrap/>
        <w:overflowPunct/>
        <w:topLinePunct w:val="0"/>
        <w:bidi w:val="0"/>
        <w:spacing w:beforeLines="0" w:afterLines="0" w:line="560" w:lineRule="exact"/>
        <w:ind w:firstLine="560"/>
        <w:jc w:val="center"/>
        <w:textAlignment w:val="auto"/>
        <w:rPr>
          <w:rFonts w:eastAsia="黑体"/>
          <w:color w:val="auto"/>
          <w:sz w:val="28"/>
          <w:szCs w:val="28"/>
          <w:highlight w:val="none"/>
        </w:rPr>
      </w:pPr>
      <w:r>
        <w:rPr>
          <w:rFonts w:eastAsia="黑体"/>
          <w:color w:val="auto"/>
          <w:sz w:val="28"/>
          <w:szCs w:val="28"/>
          <w:highlight w:val="none"/>
        </w:rPr>
        <w:t>表2 南昌市各区县电子信息产业目标表</w:t>
      </w:r>
      <w:r>
        <w:rPr>
          <w:rStyle w:val="37"/>
          <w:rFonts w:eastAsia="黑体"/>
          <w:color w:val="auto"/>
          <w:sz w:val="28"/>
          <w:szCs w:val="28"/>
          <w:highlight w:val="none"/>
        </w:rPr>
        <w:footnoteReference w:id="3"/>
      </w:r>
    </w:p>
    <w:p>
      <w:pPr>
        <w:pageBreakBefore w:val="0"/>
        <w:widowControl w:val="0"/>
        <w:kinsoku/>
        <w:wordWrap/>
        <w:overflowPunct/>
        <w:topLinePunct w:val="0"/>
        <w:bidi w:val="0"/>
        <w:spacing w:beforeLines="0" w:afterLines="0" w:line="560" w:lineRule="exact"/>
        <w:ind w:firstLine="440"/>
        <w:jc w:val="right"/>
        <w:textAlignment w:val="auto"/>
        <w:rPr>
          <w:rFonts w:eastAsia="黑体"/>
          <w:color w:val="auto"/>
          <w:sz w:val="22"/>
          <w:szCs w:val="22"/>
          <w:highlight w:val="none"/>
        </w:rPr>
      </w:pPr>
      <w:r>
        <w:rPr>
          <w:rFonts w:eastAsia="黑体"/>
          <w:color w:val="auto"/>
          <w:sz w:val="22"/>
          <w:szCs w:val="22"/>
          <w:highlight w:val="none"/>
        </w:rPr>
        <w:t>规模单位：亿元</w:t>
      </w:r>
    </w:p>
    <w:tbl>
      <w:tblPr>
        <w:tblStyle w:val="29"/>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3060"/>
        <w:gridCol w:w="1845"/>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6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b/>
                <w:bCs/>
                <w:color w:val="auto"/>
                <w:sz w:val="28"/>
                <w:szCs w:val="28"/>
                <w:highlight w:val="none"/>
              </w:rPr>
            </w:pPr>
            <w:r>
              <w:rPr>
                <w:rFonts w:hint="eastAsia"/>
                <w:b/>
                <w:bCs/>
                <w:color w:val="auto"/>
                <w:sz w:val="28"/>
                <w:szCs w:val="28"/>
                <w:highlight w:val="none"/>
              </w:rPr>
              <w:t>集聚区</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b/>
                <w:bCs/>
                <w:color w:val="auto"/>
                <w:sz w:val="28"/>
                <w:szCs w:val="28"/>
                <w:highlight w:val="none"/>
              </w:rPr>
            </w:pPr>
            <w:r>
              <w:rPr>
                <w:rFonts w:hint="eastAsia"/>
                <w:b/>
                <w:bCs/>
                <w:color w:val="auto"/>
                <w:sz w:val="28"/>
                <w:szCs w:val="28"/>
                <w:highlight w:val="none"/>
              </w:rPr>
              <w:t>发展重点</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b/>
                <w:bCs/>
                <w:color w:val="auto"/>
                <w:sz w:val="28"/>
                <w:szCs w:val="28"/>
                <w:highlight w:val="none"/>
              </w:rPr>
            </w:pPr>
            <w:r>
              <w:rPr>
                <w:rFonts w:hint="eastAsia"/>
                <w:b/>
                <w:bCs/>
                <w:color w:val="auto"/>
                <w:sz w:val="28"/>
                <w:szCs w:val="28"/>
                <w:highlight w:val="none"/>
              </w:rPr>
              <w:t>2023年目标</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b/>
                <w:bCs/>
                <w:color w:val="auto"/>
                <w:sz w:val="28"/>
                <w:szCs w:val="28"/>
                <w:highlight w:val="none"/>
              </w:rPr>
            </w:pPr>
            <w:r>
              <w:rPr>
                <w:rFonts w:hint="eastAsia"/>
                <w:b/>
                <w:bCs/>
                <w:color w:val="auto"/>
                <w:sz w:val="28"/>
                <w:szCs w:val="28"/>
                <w:highlight w:val="none"/>
              </w:rPr>
              <w:t>（亿元）</w:t>
            </w:r>
          </w:p>
        </w:tc>
        <w:tc>
          <w:tcPr>
            <w:tcW w:w="18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b/>
                <w:bCs/>
                <w:color w:val="auto"/>
                <w:sz w:val="28"/>
                <w:szCs w:val="28"/>
                <w:highlight w:val="none"/>
              </w:rPr>
            </w:pPr>
            <w:r>
              <w:rPr>
                <w:rFonts w:hint="eastAsia"/>
                <w:b/>
                <w:bCs/>
                <w:color w:val="auto"/>
                <w:sz w:val="28"/>
                <w:szCs w:val="28"/>
                <w:highlight w:val="none"/>
              </w:rPr>
              <w:t>2025年目标</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b/>
                <w:bCs/>
                <w:color w:val="auto"/>
                <w:sz w:val="28"/>
                <w:szCs w:val="28"/>
                <w:highlight w:val="none"/>
              </w:rPr>
            </w:pPr>
            <w:r>
              <w:rPr>
                <w:rFonts w:hint="eastAsia"/>
                <w:b/>
                <w:bCs/>
                <w:color w:val="auto"/>
                <w:sz w:val="28"/>
                <w:szCs w:val="28"/>
                <w:highlight w:val="none"/>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6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b/>
                <w:bCs/>
                <w:color w:val="auto"/>
                <w:sz w:val="28"/>
                <w:szCs w:val="28"/>
                <w:highlight w:val="none"/>
              </w:rPr>
            </w:pPr>
            <w:r>
              <w:rPr>
                <w:rFonts w:hint="eastAsia"/>
                <w:b/>
                <w:bCs/>
                <w:color w:val="auto"/>
                <w:sz w:val="28"/>
                <w:szCs w:val="28"/>
                <w:highlight w:val="none"/>
              </w:rPr>
              <w:t>高新区</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rFonts w:hint="eastAsia"/>
                <w:color w:val="auto"/>
                <w:sz w:val="28"/>
                <w:szCs w:val="28"/>
                <w:highlight w:val="none"/>
              </w:rPr>
              <w:t>移动智能终端、LED、汽车电子产业</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rFonts w:hint="eastAsia"/>
                <w:color w:val="auto"/>
                <w:sz w:val="28"/>
                <w:szCs w:val="28"/>
                <w:highlight w:val="none"/>
              </w:rPr>
              <w:t>2000</w:t>
            </w:r>
          </w:p>
        </w:tc>
        <w:tc>
          <w:tcPr>
            <w:tcW w:w="18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rFonts w:hint="eastAsia"/>
                <w:color w:val="auto"/>
                <w:sz w:val="28"/>
                <w:szCs w:val="28"/>
                <w:highlight w:val="none"/>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6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b/>
                <w:bCs/>
                <w:color w:val="auto"/>
                <w:sz w:val="28"/>
                <w:szCs w:val="28"/>
                <w:highlight w:val="none"/>
              </w:rPr>
            </w:pPr>
            <w:r>
              <w:rPr>
                <w:rFonts w:hint="eastAsia"/>
                <w:b/>
                <w:bCs/>
                <w:color w:val="auto"/>
                <w:sz w:val="28"/>
                <w:szCs w:val="28"/>
                <w:highlight w:val="none"/>
              </w:rPr>
              <w:t>经开区</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color w:val="auto"/>
                <w:sz w:val="28"/>
                <w:szCs w:val="28"/>
                <w:highlight w:val="none"/>
              </w:rPr>
              <w:t>移动智能终端、LED</w:t>
            </w:r>
            <w:r>
              <w:rPr>
                <w:rFonts w:hint="eastAsia"/>
                <w:color w:val="auto"/>
                <w:sz w:val="28"/>
                <w:szCs w:val="28"/>
                <w:highlight w:val="none"/>
              </w:rPr>
              <w:t>、汽车电子产业</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rFonts w:hint="eastAsia"/>
                <w:color w:val="auto"/>
                <w:sz w:val="28"/>
                <w:szCs w:val="28"/>
                <w:highlight w:val="none"/>
              </w:rPr>
              <w:t>700</w:t>
            </w:r>
          </w:p>
        </w:tc>
        <w:tc>
          <w:tcPr>
            <w:tcW w:w="18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rFonts w:hint="eastAsia"/>
                <w:color w:val="auto"/>
                <w:sz w:val="28"/>
                <w:szCs w:val="28"/>
                <w:highlight w:val="none"/>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6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b/>
                <w:bCs/>
                <w:color w:val="auto"/>
                <w:sz w:val="28"/>
                <w:szCs w:val="28"/>
                <w:highlight w:val="none"/>
              </w:rPr>
            </w:pPr>
            <w:r>
              <w:rPr>
                <w:rFonts w:hint="eastAsia"/>
                <w:b/>
                <w:bCs/>
                <w:color w:val="auto"/>
                <w:sz w:val="28"/>
                <w:szCs w:val="28"/>
                <w:highlight w:val="none"/>
              </w:rPr>
              <w:t>红谷滩区</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rFonts w:hint="eastAsia"/>
                <w:color w:val="auto"/>
                <w:sz w:val="28"/>
                <w:szCs w:val="28"/>
                <w:highlight w:val="none"/>
              </w:rPr>
              <w:t>VR、5G、云计算和大数据产业</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rFonts w:hint="eastAsia"/>
                <w:color w:val="auto"/>
                <w:sz w:val="28"/>
                <w:szCs w:val="28"/>
                <w:highlight w:val="none"/>
              </w:rPr>
              <w:t>70</w:t>
            </w:r>
          </w:p>
        </w:tc>
        <w:tc>
          <w:tcPr>
            <w:tcW w:w="18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rFonts w:hint="eastAsia"/>
                <w:color w:val="auto"/>
                <w:sz w:val="28"/>
                <w:szCs w:val="28"/>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6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b/>
                <w:bCs/>
                <w:color w:val="auto"/>
                <w:sz w:val="28"/>
                <w:szCs w:val="28"/>
                <w:highlight w:val="none"/>
              </w:rPr>
            </w:pPr>
            <w:r>
              <w:rPr>
                <w:rFonts w:hint="eastAsia"/>
                <w:b/>
                <w:bCs/>
                <w:color w:val="auto"/>
                <w:sz w:val="28"/>
                <w:szCs w:val="28"/>
                <w:highlight w:val="none"/>
              </w:rPr>
              <w:t>新建区</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rFonts w:hint="eastAsia"/>
                <w:color w:val="auto"/>
                <w:sz w:val="28"/>
                <w:szCs w:val="28"/>
                <w:highlight w:val="none"/>
              </w:rPr>
              <w:t>LED、移动智能终端配套产业</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rFonts w:hint="eastAsia"/>
                <w:color w:val="auto"/>
                <w:sz w:val="28"/>
                <w:szCs w:val="28"/>
                <w:highlight w:val="none"/>
              </w:rPr>
              <w:t>120</w:t>
            </w:r>
          </w:p>
        </w:tc>
        <w:tc>
          <w:tcPr>
            <w:tcW w:w="18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rFonts w:hint="eastAsia"/>
                <w:color w:val="auto"/>
                <w:sz w:val="28"/>
                <w:szCs w:val="28"/>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6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b/>
                <w:bCs/>
                <w:color w:val="auto"/>
                <w:sz w:val="28"/>
                <w:szCs w:val="28"/>
                <w:highlight w:val="none"/>
              </w:rPr>
            </w:pPr>
            <w:r>
              <w:rPr>
                <w:rFonts w:hint="eastAsia"/>
                <w:b/>
                <w:bCs/>
                <w:color w:val="auto"/>
                <w:sz w:val="28"/>
                <w:szCs w:val="28"/>
                <w:highlight w:val="none"/>
              </w:rPr>
              <w:t>青山湖区</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rFonts w:hint="eastAsia"/>
                <w:color w:val="auto"/>
                <w:sz w:val="28"/>
                <w:szCs w:val="28"/>
                <w:highlight w:val="none"/>
              </w:rPr>
              <w:t>LED配套产业</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rFonts w:hint="eastAsia"/>
                <w:color w:val="auto"/>
                <w:sz w:val="28"/>
                <w:szCs w:val="28"/>
                <w:highlight w:val="none"/>
              </w:rPr>
              <w:t>50</w:t>
            </w:r>
          </w:p>
        </w:tc>
        <w:tc>
          <w:tcPr>
            <w:tcW w:w="18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rFonts w:hint="eastAsia"/>
                <w:color w:val="auto"/>
                <w:sz w:val="28"/>
                <w:szCs w:val="28"/>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6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rFonts w:hint="eastAsia"/>
                <w:b/>
                <w:bCs/>
                <w:color w:val="auto"/>
                <w:sz w:val="28"/>
                <w:szCs w:val="28"/>
                <w:highlight w:val="none"/>
              </w:rPr>
            </w:pPr>
            <w:r>
              <w:rPr>
                <w:rFonts w:hint="eastAsia"/>
                <w:b/>
                <w:bCs/>
                <w:color w:val="auto"/>
                <w:sz w:val="28"/>
                <w:szCs w:val="28"/>
                <w:highlight w:val="none"/>
              </w:rPr>
              <w:t>南昌县</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b/>
                <w:bCs/>
                <w:color w:val="auto"/>
                <w:sz w:val="28"/>
                <w:szCs w:val="28"/>
                <w:highlight w:val="none"/>
              </w:rPr>
            </w:pPr>
            <w:r>
              <w:rPr>
                <w:rFonts w:hint="eastAsia"/>
                <w:b/>
                <w:bCs/>
                <w:color w:val="auto"/>
                <w:sz w:val="28"/>
                <w:szCs w:val="28"/>
                <w:highlight w:val="none"/>
              </w:rPr>
              <w:t>（小蓝经开区）</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rFonts w:hint="eastAsia"/>
                <w:color w:val="auto"/>
                <w:sz w:val="28"/>
                <w:szCs w:val="28"/>
                <w:highlight w:val="none"/>
              </w:rPr>
              <w:t>VR、5G、汽车电子产业</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rFonts w:hint="eastAsia"/>
                <w:color w:val="auto"/>
                <w:sz w:val="28"/>
                <w:szCs w:val="28"/>
                <w:highlight w:val="none"/>
              </w:rPr>
              <w:t>40</w:t>
            </w:r>
          </w:p>
        </w:tc>
        <w:tc>
          <w:tcPr>
            <w:tcW w:w="18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rFonts w:hint="eastAsia"/>
                <w:color w:val="auto"/>
                <w:sz w:val="28"/>
                <w:szCs w:val="28"/>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6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b/>
                <w:bCs/>
                <w:color w:val="auto"/>
                <w:sz w:val="28"/>
                <w:szCs w:val="28"/>
                <w:highlight w:val="none"/>
              </w:rPr>
            </w:pPr>
            <w:r>
              <w:rPr>
                <w:rFonts w:hint="eastAsia"/>
                <w:b/>
                <w:bCs/>
                <w:color w:val="auto"/>
                <w:sz w:val="28"/>
                <w:szCs w:val="28"/>
                <w:highlight w:val="none"/>
              </w:rPr>
              <w:t>进贤县</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rFonts w:hint="eastAsia"/>
                <w:color w:val="auto"/>
                <w:sz w:val="28"/>
                <w:szCs w:val="28"/>
                <w:highlight w:val="none"/>
              </w:rPr>
              <w:t>移动智能终端配套产业</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rFonts w:hint="eastAsia"/>
                <w:color w:val="auto"/>
                <w:sz w:val="28"/>
                <w:szCs w:val="28"/>
                <w:highlight w:val="none"/>
              </w:rPr>
              <w:t>20</w:t>
            </w:r>
          </w:p>
        </w:tc>
        <w:tc>
          <w:tcPr>
            <w:tcW w:w="18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rFonts w:hint="eastAsia"/>
                <w:color w:val="auto"/>
                <w:sz w:val="28"/>
                <w:szCs w:val="28"/>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6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b/>
                <w:bCs/>
                <w:color w:val="auto"/>
                <w:sz w:val="28"/>
                <w:szCs w:val="28"/>
                <w:highlight w:val="none"/>
              </w:rPr>
            </w:pPr>
            <w:r>
              <w:rPr>
                <w:rFonts w:hint="eastAsia"/>
                <w:b/>
                <w:bCs/>
                <w:color w:val="auto"/>
                <w:sz w:val="28"/>
                <w:szCs w:val="28"/>
                <w:highlight w:val="none"/>
              </w:rPr>
              <w:t>合计</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p>
        </w:tc>
        <w:tc>
          <w:tcPr>
            <w:tcW w:w="184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rFonts w:hint="eastAsia"/>
                <w:color w:val="auto"/>
                <w:sz w:val="28"/>
                <w:szCs w:val="28"/>
                <w:highlight w:val="none"/>
              </w:rPr>
              <w:t>3000</w:t>
            </w:r>
          </w:p>
        </w:tc>
        <w:tc>
          <w:tcPr>
            <w:tcW w:w="181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0" w:firstLineChars="0"/>
              <w:jc w:val="center"/>
              <w:textAlignment w:val="auto"/>
              <w:rPr>
                <w:color w:val="auto"/>
                <w:sz w:val="28"/>
                <w:szCs w:val="28"/>
                <w:highlight w:val="none"/>
              </w:rPr>
            </w:pPr>
            <w:r>
              <w:rPr>
                <w:rFonts w:hint="eastAsia"/>
                <w:color w:val="auto"/>
                <w:sz w:val="28"/>
                <w:szCs w:val="28"/>
                <w:highlight w:val="none"/>
              </w:rPr>
              <w:t>5000</w:t>
            </w:r>
          </w:p>
        </w:tc>
      </w:tr>
      <w:bookmarkEnd w:id="134"/>
      <w:bookmarkEnd w:id="135"/>
    </w:tbl>
    <w:p>
      <w:pPr>
        <w:keepNext w:val="0"/>
        <w:keepLines w:val="0"/>
        <w:pageBreakBefore w:val="0"/>
        <w:widowControl w:val="0"/>
        <w:kinsoku/>
        <w:wordWrap/>
        <w:overflowPunct/>
        <w:topLinePunct w:val="0"/>
        <w:autoSpaceDE/>
        <w:autoSpaceDN/>
        <w:bidi w:val="0"/>
        <w:spacing w:line="580" w:lineRule="exact"/>
        <w:textAlignment w:val="auto"/>
        <w:outlineLvl w:val="0"/>
        <w:rPr>
          <w:rFonts w:eastAsia="黑体"/>
          <w:bCs/>
          <w:color w:val="auto"/>
          <w:kern w:val="44"/>
          <w:highlight w:val="none"/>
        </w:rPr>
      </w:pPr>
      <w:bookmarkStart w:id="141" w:name="_Toc1169595271"/>
      <w:bookmarkStart w:id="142" w:name="_Toc88257158"/>
      <w:bookmarkStart w:id="143" w:name="_Toc13563"/>
      <w:r>
        <w:rPr>
          <w:rFonts w:eastAsia="黑体"/>
          <w:bCs/>
          <w:color w:val="auto"/>
          <w:kern w:val="44"/>
          <w:highlight w:val="none"/>
        </w:rPr>
        <w:t>六、重大工程</w:t>
      </w:r>
      <w:bookmarkEnd w:id="136"/>
      <w:bookmarkEnd w:id="141"/>
      <w:bookmarkEnd w:id="142"/>
      <w:bookmarkEnd w:id="143"/>
    </w:p>
    <w:p>
      <w:pPr>
        <w:pStyle w:val="20"/>
        <w:keepNext w:val="0"/>
        <w:keepLines w:val="0"/>
        <w:pageBreakBefore w:val="0"/>
        <w:widowControl w:val="0"/>
        <w:kinsoku/>
        <w:wordWrap/>
        <w:overflowPunct/>
        <w:topLinePunct w:val="0"/>
        <w:autoSpaceDE/>
        <w:autoSpaceDN/>
        <w:bidi w:val="0"/>
        <w:spacing w:before="0" w:after="0" w:line="580" w:lineRule="exact"/>
        <w:ind w:firstLine="643"/>
        <w:jc w:val="left"/>
        <w:textAlignment w:val="auto"/>
        <w:rPr>
          <w:rFonts w:ascii="Times New Roman" w:hAnsi="Times New Roman" w:eastAsia="楷体_GB2312"/>
          <w:color w:val="auto"/>
          <w:highlight w:val="none"/>
        </w:rPr>
      </w:pPr>
      <w:bookmarkStart w:id="144" w:name="_Toc88257159"/>
      <w:bookmarkStart w:id="145" w:name="_Toc58270324"/>
      <w:bookmarkStart w:id="146" w:name="_Toc31230"/>
      <w:bookmarkStart w:id="147" w:name="_Toc385108858"/>
      <w:bookmarkStart w:id="148" w:name="_Toc14467"/>
      <w:r>
        <w:rPr>
          <w:rFonts w:ascii="Times New Roman" w:hAnsi="Times New Roman" w:eastAsia="楷体_GB2312"/>
          <w:color w:val="auto"/>
          <w:highlight w:val="none"/>
        </w:rPr>
        <w:t>（一）产业集群打造工程</w:t>
      </w:r>
      <w:bookmarkEnd w:id="144"/>
      <w:bookmarkEnd w:id="145"/>
      <w:bookmarkEnd w:id="146"/>
      <w:bookmarkEnd w:id="147"/>
      <w:bookmarkEnd w:id="148"/>
    </w:p>
    <w:p>
      <w:pPr>
        <w:keepNext w:val="0"/>
        <w:keepLines w:val="0"/>
        <w:pageBreakBefore w:val="0"/>
        <w:widowControl w:val="0"/>
        <w:kinsoku/>
        <w:wordWrap/>
        <w:overflowPunct/>
        <w:topLinePunct w:val="0"/>
        <w:autoSpaceDE/>
        <w:autoSpaceDN/>
        <w:bidi w:val="0"/>
        <w:spacing w:line="580" w:lineRule="exact"/>
        <w:ind w:firstLine="643"/>
        <w:textAlignment w:val="auto"/>
        <w:rPr>
          <w:bCs/>
          <w:color w:val="auto"/>
          <w:highlight w:val="none"/>
        </w:rPr>
      </w:pPr>
      <w:r>
        <w:rPr>
          <w:b/>
          <w:color w:val="auto"/>
          <w:highlight w:val="none"/>
        </w:rPr>
        <w:t>打造江西省创新驱动产业集群发展“示范区”</w:t>
      </w:r>
      <w:r>
        <w:rPr>
          <w:bCs/>
          <w:color w:val="auto"/>
          <w:highlight w:val="none"/>
        </w:rPr>
        <w:t>。通过产业集群培育工作，提升已有核心知识产权的硅衬底LED技术、MO源技术、MOCVD技术、红外LED芯片技术、LED封装技术、LED驱动电源技术、LED智能应用技术等领域创新势能，进一步促进创新资源聚集。开展协同创新，继续做大做强原创技术孵化企业和机构，</w:t>
      </w:r>
      <w:r>
        <w:rPr>
          <w:rFonts w:hint="eastAsia"/>
          <w:bCs/>
          <w:color w:val="auto"/>
          <w:highlight w:val="none"/>
        </w:rPr>
        <w:t>开展知识产权运营服务，</w:t>
      </w:r>
      <w:r>
        <w:rPr>
          <w:bCs/>
          <w:color w:val="auto"/>
          <w:highlight w:val="none"/>
        </w:rPr>
        <w:t>加快创新成果转移转化，使“南昌光谷”成为江西省创新驱动发展的示范区。</w:t>
      </w:r>
    </w:p>
    <w:p>
      <w:pPr>
        <w:keepNext w:val="0"/>
        <w:keepLines w:val="0"/>
        <w:pageBreakBefore w:val="0"/>
        <w:widowControl w:val="0"/>
        <w:kinsoku/>
        <w:wordWrap/>
        <w:overflowPunct/>
        <w:topLinePunct w:val="0"/>
        <w:autoSpaceDE/>
        <w:autoSpaceDN/>
        <w:bidi w:val="0"/>
        <w:spacing w:line="580" w:lineRule="exact"/>
        <w:ind w:firstLine="643"/>
        <w:textAlignment w:val="auto"/>
        <w:rPr>
          <w:bCs/>
          <w:color w:val="auto"/>
          <w:highlight w:val="none"/>
        </w:rPr>
      </w:pPr>
      <w:r>
        <w:rPr>
          <w:b/>
          <w:color w:val="auto"/>
          <w:highlight w:val="none"/>
        </w:rPr>
        <w:t>构建国内电子信息制造业高质量发展“先行区”</w:t>
      </w:r>
      <w:r>
        <w:rPr>
          <w:bCs/>
          <w:color w:val="auto"/>
          <w:highlight w:val="none"/>
        </w:rPr>
        <w:t>。通过深入实施</w:t>
      </w:r>
      <w:r>
        <w:rPr>
          <w:rFonts w:hint="eastAsia"/>
          <w:bCs/>
          <w:color w:val="auto"/>
          <w:highlight w:val="none"/>
        </w:rPr>
        <w:t>优化</w:t>
      </w:r>
      <w:r>
        <w:rPr>
          <w:bCs/>
          <w:color w:val="auto"/>
          <w:highlight w:val="none"/>
        </w:rPr>
        <w:t>园区承载功能、多点打造特色园区、</w:t>
      </w:r>
      <w:r>
        <w:rPr>
          <w:rFonts w:hint="eastAsia"/>
          <w:bCs/>
          <w:color w:val="auto"/>
          <w:highlight w:val="none"/>
        </w:rPr>
        <w:t>合作共建</w:t>
      </w:r>
      <w:r>
        <w:rPr>
          <w:bCs/>
          <w:color w:val="auto"/>
          <w:highlight w:val="none"/>
        </w:rPr>
        <w:t>“产业飞地”等具体措施，培育壮大电子信息产业集群，不断汇聚电子信息产业的创新资源、制造资源，开展智能制造和应用示范，推动南昌电子信息产业加速发展、赶超发展，形成以电子信息为引领的制造业高质量示范区。抢抓新型基础设施建设窗口期，充分利用5G、人工智能、工业互联网等为信息产业智能化发展赋予新动能，丰富全市电子信息产品和服务形态，跨越式提升全市电子信息产业发展质量。</w:t>
      </w:r>
    </w:p>
    <w:p>
      <w:pPr>
        <w:keepNext w:val="0"/>
        <w:keepLines w:val="0"/>
        <w:pageBreakBefore w:val="0"/>
        <w:widowControl w:val="0"/>
        <w:kinsoku/>
        <w:wordWrap/>
        <w:overflowPunct/>
        <w:topLinePunct w:val="0"/>
        <w:autoSpaceDE/>
        <w:autoSpaceDN/>
        <w:bidi w:val="0"/>
        <w:spacing w:line="580" w:lineRule="exact"/>
        <w:ind w:firstLine="643"/>
        <w:textAlignment w:val="auto"/>
        <w:rPr>
          <w:color w:val="auto"/>
          <w:highlight w:val="none"/>
        </w:rPr>
      </w:pPr>
      <w:r>
        <w:rPr>
          <w:b/>
          <w:color w:val="auto"/>
          <w:highlight w:val="none"/>
        </w:rPr>
        <w:t>培育世界级VR产业“中心区”</w:t>
      </w:r>
      <w:r>
        <w:rPr>
          <w:bCs/>
          <w:color w:val="auto"/>
          <w:highlight w:val="none"/>
        </w:rPr>
        <w:t>。着力打造形成世界级VR产业“中心区”，不断健全虚拟现实产业链条，构建“产、学、研、用、融”一体化生态圈，形成技术、产品、服务和应用协同推进的产业发展格局。依托“5G+VR”特色产业园、VR科创城等特色产业园建设，增强技术产品创新能力，突破关键技术创新，</w:t>
      </w:r>
      <w:r>
        <w:rPr>
          <w:rFonts w:hint="eastAsia"/>
          <w:bCs/>
          <w:color w:val="auto"/>
          <w:highlight w:val="none"/>
        </w:rPr>
        <w:t>建立5G、VR等专利池等，</w:t>
      </w:r>
      <w:r>
        <w:rPr>
          <w:bCs/>
          <w:color w:val="auto"/>
          <w:highlight w:val="none"/>
        </w:rPr>
        <w:t>大幅提升服务质量，培育若干家应用示范企业，形成一批可复制、可推广、成效显著的典型示范应用。推动产业综合发展实力实现跃升，形成若干具有较强创新能力和全球影响力的虚拟现实企业，产业创业创新支撑能力和公共服务水平国际领先。</w:t>
      </w:r>
    </w:p>
    <w:p>
      <w:pPr>
        <w:keepNext w:val="0"/>
        <w:keepLines w:val="0"/>
        <w:pageBreakBefore w:val="0"/>
        <w:widowControl w:val="0"/>
        <w:kinsoku/>
        <w:wordWrap/>
        <w:overflowPunct/>
        <w:topLinePunct w:val="0"/>
        <w:autoSpaceDE/>
        <w:autoSpaceDN/>
        <w:bidi w:val="0"/>
        <w:spacing w:line="580" w:lineRule="exact"/>
        <w:ind w:firstLine="643"/>
        <w:jc w:val="left"/>
        <w:textAlignment w:val="auto"/>
        <w:outlineLvl w:val="1"/>
        <w:rPr>
          <w:rFonts w:eastAsia="楷体_GB2312"/>
          <w:b/>
          <w:bCs/>
          <w:color w:val="auto"/>
          <w:kern w:val="28"/>
          <w:highlight w:val="none"/>
        </w:rPr>
      </w:pPr>
      <w:bookmarkStart w:id="149" w:name="_Toc45"/>
      <w:bookmarkStart w:id="150" w:name="_Toc14714"/>
      <w:bookmarkStart w:id="151" w:name="_Toc920445235"/>
      <w:bookmarkStart w:id="152" w:name="_Toc88257160"/>
      <w:r>
        <w:rPr>
          <w:rFonts w:eastAsia="楷体_GB2312"/>
          <w:b/>
          <w:bCs/>
          <w:color w:val="auto"/>
          <w:kern w:val="28"/>
          <w:highlight w:val="none"/>
        </w:rPr>
        <w:t>（二）龙头企业引培工程</w:t>
      </w:r>
      <w:bookmarkEnd w:id="149"/>
      <w:bookmarkEnd w:id="150"/>
      <w:bookmarkEnd w:id="151"/>
      <w:bookmarkEnd w:id="152"/>
    </w:p>
    <w:p>
      <w:pPr>
        <w:keepNext w:val="0"/>
        <w:keepLines w:val="0"/>
        <w:pageBreakBefore w:val="0"/>
        <w:widowControl w:val="0"/>
        <w:kinsoku/>
        <w:wordWrap/>
        <w:overflowPunct/>
        <w:topLinePunct w:val="0"/>
        <w:autoSpaceDE/>
        <w:autoSpaceDN/>
        <w:bidi w:val="0"/>
        <w:spacing w:line="580" w:lineRule="exact"/>
        <w:ind w:firstLine="643"/>
        <w:textAlignment w:val="auto"/>
        <w:rPr>
          <w:color w:val="auto"/>
          <w:highlight w:val="none"/>
        </w:rPr>
      </w:pPr>
      <w:r>
        <w:rPr>
          <w:b/>
          <w:color w:val="auto"/>
          <w:highlight w:val="none"/>
        </w:rPr>
        <w:t>培育壮大本地龙头企业。</w:t>
      </w:r>
      <w:r>
        <w:rPr>
          <w:color w:val="auto"/>
          <w:highlight w:val="none"/>
        </w:rPr>
        <w:t>围绕</w:t>
      </w:r>
      <w:r>
        <w:rPr>
          <w:rFonts w:hint="eastAsia"/>
          <w:color w:val="auto"/>
          <w:highlight w:val="none"/>
        </w:rPr>
        <w:t>移动</w:t>
      </w:r>
      <w:r>
        <w:rPr>
          <w:color w:val="auto"/>
          <w:highlight w:val="none"/>
        </w:rPr>
        <w:t>智能终端、LED、</w:t>
      </w:r>
      <w:r>
        <w:rPr>
          <w:rFonts w:hint="eastAsia"/>
          <w:color w:val="auto"/>
          <w:highlight w:val="none"/>
        </w:rPr>
        <w:t>V</w:t>
      </w:r>
      <w:r>
        <w:rPr>
          <w:color w:val="auto"/>
          <w:highlight w:val="none"/>
        </w:rPr>
        <w:t>R</w:t>
      </w:r>
      <w:r>
        <w:rPr>
          <w:rFonts w:hint="eastAsia"/>
          <w:color w:val="auto"/>
          <w:highlight w:val="none"/>
          <w:lang w:eastAsia="zh-CN"/>
        </w:rPr>
        <w:t>、</w:t>
      </w:r>
      <w:r>
        <w:rPr>
          <w:rFonts w:hint="eastAsia"/>
          <w:color w:val="auto"/>
          <w:highlight w:val="none"/>
          <w:lang w:val="en-US" w:eastAsia="zh-CN"/>
        </w:rPr>
        <w:t>5G</w:t>
      </w:r>
      <w:r>
        <w:rPr>
          <w:color w:val="auto"/>
          <w:highlight w:val="none"/>
        </w:rPr>
        <w:t>等重点领域，进一步在项目试点示范推广、优质人才团队引培等方面加大政策</w:t>
      </w:r>
      <w:r>
        <w:rPr>
          <w:rFonts w:hint="eastAsia"/>
          <w:color w:val="auto"/>
          <w:highlight w:val="none"/>
          <w:lang w:eastAsia="zh-CN"/>
        </w:rPr>
        <w:t>支持</w:t>
      </w:r>
      <w:r>
        <w:rPr>
          <w:color w:val="auto"/>
          <w:highlight w:val="none"/>
        </w:rPr>
        <w:t>力度，重点支持欧菲光、华勤等具有核心竞争力的龙头企业向千亿标志性领军企业迈进。实行重点产业链链长和龙头企业负责人定期会谈制度，深化政企协同，加强与国家发展改革委、科学技术部、工业和信息化部等国家部委，以及江西省各主管部门的沟通对接，帮助企业争取国家级、省级重大专项和试点示范等扶持政策，加快提升品牌知名度。对于龙头企业进行中的重大项目，采取“一事一议”“一项目一工作组”的方式，派专人全方位、全过程参与项目推进实施，协调项目建设中遇到的问题。鼓励龙头企业通过兼并重组、增设分厂等方式，整合南昌市及周边业务资源，加大在粤港澳、长三角、京津冀等创新集聚区的战略布局，</w:t>
      </w:r>
      <w:r>
        <w:rPr>
          <w:rFonts w:hint="eastAsia"/>
          <w:color w:val="auto"/>
          <w:highlight w:val="none"/>
        </w:rPr>
        <w:t>向</w:t>
      </w:r>
      <w:r>
        <w:rPr>
          <w:color w:val="auto"/>
          <w:highlight w:val="none"/>
        </w:rPr>
        <w:t>具备全球影响力的企业梯队迈进。</w:t>
      </w:r>
    </w:p>
    <w:p>
      <w:pPr>
        <w:keepNext w:val="0"/>
        <w:keepLines w:val="0"/>
        <w:pageBreakBefore w:val="0"/>
        <w:widowControl w:val="0"/>
        <w:kinsoku/>
        <w:wordWrap/>
        <w:overflowPunct/>
        <w:topLinePunct w:val="0"/>
        <w:autoSpaceDE/>
        <w:autoSpaceDN/>
        <w:bidi w:val="0"/>
        <w:spacing w:line="580" w:lineRule="exact"/>
        <w:ind w:firstLine="643"/>
        <w:textAlignment w:val="auto"/>
        <w:rPr>
          <w:color w:val="auto"/>
          <w:highlight w:val="none"/>
        </w:rPr>
      </w:pPr>
      <w:r>
        <w:rPr>
          <w:b/>
          <w:color w:val="auto"/>
          <w:highlight w:val="none"/>
        </w:rPr>
        <w:t>引进国内外领先的龙头企业。</w:t>
      </w:r>
      <w:r>
        <w:rPr>
          <w:color w:val="auto"/>
          <w:highlight w:val="none"/>
        </w:rPr>
        <w:t>围绕电子信息产业关键环节，研究制定亟需引进的基地型、龙头型项目清单及招商引资目标企业目录，实现外部品牌企业的精准化招引。发挥南昌市品牌企业和配套企业众多、产业链基本完备的基础优势，构建上下游联动招商体系，集聚更多优质企业来南昌抱团发展。建立健全招商引资组织架构和方式，在现有招商引资政策基础上，研究制定鼓励电子信息企业落户南昌市的专项奖励办法，通过股权投资、知识产权入股等多种合作方式吸引龙头企业和重点项目落地，试点</w:t>
      </w:r>
      <w:r>
        <w:rPr>
          <w:rFonts w:hint="eastAsia"/>
          <w:color w:val="auto"/>
          <w:highlight w:val="none"/>
        </w:rPr>
        <w:t>“政府+企业”</w:t>
      </w:r>
      <w:r>
        <w:rPr>
          <w:color w:val="auto"/>
          <w:highlight w:val="none"/>
        </w:rPr>
        <w:t>联合招商、开发产业地产等新模式。对于亟需引进的龙头企业项目，实行“揭榜挂帅”招商制，完善奖励政策和免责措施。鼓励招引名牌产品、驰名商标、质量奖、国家/省级标杆企业的优质企业落地，加大对招商团队和带头人奖励力度。</w:t>
      </w:r>
    </w:p>
    <w:p>
      <w:pPr>
        <w:pStyle w:val="20"/>
        <w:keepNext w:val="0"/>
        <w:keepLines w:val="0"/>
        <w:pageBreakBefore w:val="0"/>
        <w:widowControl w:val="0"/>
        <w:kinsoku/>
        <w:wordWrap/>
        <w:overflowPunct/>
        <w:topLinePunct w:val="0"/>
        <w:autoSpaceDE/>
        <w:autoSpaceDN/>
        <w:bidi w:val="0"/>
        <w:spacing w:before="0" w:after="0" w:line="580" w:lineRule="exact"/>
        <w:ind w:firstLine="643"/>
        <w:jc w:val="left"/>
        <w:textAlignment w:val="auto"/>
        <w:rPr>
          <w:rFonts w:ascii="Times New Roman" w:hAnsi="Times New Roman" w:eastAsia="楷体_GB2312"/>
          <w:color w:val="auto"/>
          <w:highlight w:val="none"/>
        </w:rPr>
      </w:pPr>
      <w:bookmarkStart w:id="153" w:name="_Toc88257161"/>
      <w:bookmarkStart w:id="154" w:name="_Toc498339770"/>
      <w:bookmarkStart w:id="155" w:name="_Toc6238"/>
      <w:r>
        <w:rPr>
          <w:rFonts w:ascii="Times New Roman" w:hAnsi="Times New Roman" w:eastAsia="楷体_GB2312"/>
          <w:color w:val="auto"/>
          <w:highlight w:val="none"/>
        </w:rPr>
        <w:t>（三）创新能力提升工程</w:t>
      </w:r>
      <w:bookmarkEnd w:id="153"/>
      <w:bookmarkEnd w:id="154"/>
      <w:bookmarkEnd w:id="155"/>
    </w:p>
    <w:p>
      <w:pPr>
        <w:keepNext w:val="0"/>
        <w:keepLines w:val="0"/>
        <w:pageBreakBefore w:val="0"/>
        <w:widowControl w:val="0"/>
        <w:kinsoku/>
        <w:wordWrap/>
        <w:overflowPunct/>
        <w:topLinePunct w:val="0"/>
        <w:autoSpaceDE/>
        <w:autoSpaceDN/>
        <w:bidi w:val="0"/>
        <w:spacing w:line="580" w:lineRule="exact"/>
        <w:ind w:firstLine="667"/>
        <w:textAlignment w:val="auto"/>
        <w:rPr>
          <w:bCs/>
          <w:color w:val="auto"/>
          <w:spacing w:val="6"/>
          <w:highlight w:val="none"/>
        </w:rPr>
      </w:pPr>
      <w:r>
        <w:rPr>
          <w:b/>
          <w:color w:val="auto"/>
          <w:spacing w:val="6"/>
          <w:highlight w:val="none"/>
        </w:rPr>
        <w:t>提升关键领域自主技术创新能力</w:t>
      </w:r>
      <w:r>
        <w:rPr>
          <w:bCs/>
          <w:color w:val="auto"/>
          <w:spacing w:val="6"/>
          <w:highlight w:val="none"/>
        </w:rPr>
        <w:t>。实施高企量质双升工程，鼓励企业加强关键技术</w:t>
      </w:r>
      <w:r>
        <w:rPr>
          <w:rFonts w:hint="eastAsia"/>
          <w:bCs/>
          <w:color w:val="auto"/>
          <w:spacing w:val="6"/>
          <w:highlight w:val="none"/>
        </w:rPr>
        <w:t>攻关</w:t>
      </w:r>
      <w:r>
        <w:rPr>
          <w:bCs/>
          <w:color w:val="auto"/>
          <w:spacing w:val="6"/>
          <w:highlight w:val="none"/>
        </w:rPr>
        <w:t>，提升自主创新能力。围绕移动智能终端、硅衬底LED、VR等优势领域绘制技术路线图，增强产业关键技术路线的创新能力积累，鼓励具有自主知识产权的原始创新。围绕人工智能、5G、集成电路、北斗应用等</w:t>
      </w:r>
      <w:r>
        <w:rPr>
          <w:rFonts w:hint="eastAsia"/>
          <w:bCs/>
          <w:color w:val="auto"/>
          <w:spacing w:val="6"/>
          <w:highlight w:val="none"/>
        </w:rPr>
        <w:t>重点</w:t>
      </w:r>
      <w:r>
        <w:rPr>
          <w:bCs/>
          <w:color w:val="auto"/>
          <w:spacing w:val="6"/>
          <w:highlight w:val="none"/>
        </w:rPr>
        <w:t>领域，着重开展应用技术研发和联合研发攻关，拓展信息技术领域创新链。</w:t>
      </w:r>
    </w:p>
    <w:p>
      <w:pPr>
        <w:keepNext w:val="0"/>
        <w:keepLines w:val="0"/>
        <w:pageBreakBefore w:val="0"/>
        <w:widowControl w:val="0"/>
        <w:kinsoku/>
        <w:wordWrap/>
        <w:overflowPunct/>
        <w:topLinePunct w:val="0"/>
        <w:autoSpaceDE/>
        <w:autoSpaceDN/>
        <w:bidi w:val="0"/>
        <w:spacing w:line="580" w:lineRule="exact"/>
        <w:ind w:firstLine="667"/>
        <w:textAlignment w:val="auto"/>
        <w:rPr>
          <w:bCs/>
          <w:color w:val="auto"/>
          <w:spacing w:val="6"/>
          <w:highlight w:val="none"/>
        </w:rPr>
      </w:pPr>
      <w:r>
        <w:rPr>
          <w:b/>
          <w:color w:val="auto"/>
          <w:spacing w:val="6"/>
          <w:highlight w:val="none"/>
        </w:rPr>
        <w:t>丰富国家级产业创新载体</w:t>
      </w:r>
      <w:r>
        <w:rPr>
          <w:bCs/>
          <w:color w:val="auto"/>
          <w:spacing w:val="6"/>
          <w:highlight w:val="none"/>
        </w:rPr>
        <w:t>。依托</w:t>
      </w:r>
      <w:r>
        <w:rPr>
          <w:color w:val="auto"/>
          <w:highlight w:val="none"/>
        </w:rPr>
        <w:t>VR国家级创新中心建设和</w:t>
      </w:r>
      <w:r>
        <w:rPr>
          <w:bCs/>
          <w:color w:val="auto"/>
          <w:spacing w:val="6"/>
          <w:highlight w:val="none"/>
        </w:rPr>
        <w:t>国家工程实验室，采用“基础研究+技术平台+运作资金+市场孵化”四位一体的运营模式，打造国内一流、国际领先的</w:t>
      </w:r>
      <w:r>
        <w:rPr>
          <w:rFonts w:hint="eastAsia"/>
          <w:bCs/>
          <w:color w:val="auto"/>
          <w:spacing w:val="6"/>
          <w:highlight w:val="none"/>
        </w:rPr>
        <w:t>产业</w:t>
      </w:r>
      <w:r>
        <w:rPr>
          <w:bCs/>
          <w:color w:val="auto"/>
          <w:spacing w:val="6"/>
          <w:highlight w:val="none"/>
        </w:rPr>
        <w:t>孵化基地。持续引入创新平台、研发平台及创新型企业，积极吸引BAT创新中心、华为研究院等名校名企平台类项目落地，建立科技型中小企业、高新技术企业和标杆型高新技术企业培育库。</w:t>
      </w:r>
    </w:p>
    <w:p>
      <w:pPr>
        <w:keepNext w:val="0"/>
        <w:keepLines w:val="0"/>
        <w:pageBreakBefore w:val="0"/>
        <w:widowControl w:val="0"/>
        <w:kinsoku/>
        <w:wordWrap/>
        <w:overflowPunct/>
        <w:topLinePunct w:val="0"/>
        <w:autoSpaceDE/>
        <w:autoSpaceDN/>
        <w:bidi w:val="0"/>
        <w:spacing w:line="580" w:lineRule="exact"/>
        <w:ind w:firstLine="667"/>
        <w:textAlignment w:val="auto"/>
        <w:rPr>
          <w:bCs/>
          <w:color w:val="auto"/>
          <w:spacing w:val="6"/>
          <w:highlight w:val="none"/>
        </w:rPr>
      </w:pPr>
      <w:r>
        <w:rPr>
          <w:b/>
          <w:color w:val="auto"/>
          <w:spacing w:val="6"/>
          <w:highlight w:val="none"/>
        </w:rPr>
        <w:t>打造“公司+联盟”产学研用协同创新网络。</w:t>
      </w:r>
      <w:r>
        <w:rPr>
          <w:bCs/>
          <w:color w:val="auto"/>
          <w:spacing w:val="6"/>
          <w:highlight w:val="none"/>
        </w:rPr>
        <w:t>推进创新公共服务平台建设，整合相关产业联盟创新资源，推动电子信息产业上下游企业在创新方面的合作，支撑电子信息技术研发和成果转移扩散。全面深化联盟企业与国内科研院所和国外顶级科研资源的合作，不断完善创新体制机制和创新环境，加快形成集技术创新、成果转移、产业孵化“三位一体”的创新网络。</w:t>
      </w:r>
    </w:p>
    <w:p>
      <w:pPr>
        <w:keepNext w:val="0"/>
        <w:keepLines w:val="0"/>
        <w:pageBreakBefore w:val="0"/>
        <w:widowControl w:val="0"/>
        <w:kinsoku/>
        <w:wordWrap/>
        <w:overflowPunct/>
        <w:topLinePunct w:val="0"/>
        <w:autoSpaceDE/>
        <w:autoSpaceDN/>
        <w:bidi w:val="0"/>
        <w:spacing w:line="580" w:lineRule="exact"/>
        <w:ind w:firstLine="667"/>
        <w:textAlignment w:val="auto"/>
        <w:rPr>
          <w:color w:val="auto"/>
          <w:highlight w:val="none"/>
        </w:rPr>
      </w:pPr>
      <w:r>
        <w:rPr>
          <w:b/>
          <w:color w:val="auto"/>
          <w:spacing w:val="6"/>
          <w:highlight w:val="none"/>
        </w:rPr>
        <w:t>创新市级科研成果转化机制</w:t>
      </w:r>
      <w:r>
        <w:rPr>
          <w:bCs/>
          <w:color w:val="auto"/>
          <w:spacing w:val="6"/>
          <w:highlight w:val="none"/>
        </w:rPr>
        <w:t>。建设科技成果转移转化平台，探索建立创新成果转化新模式，借鉴国内外科技成果转化先进模式建立专业化成果转化运营团队，加强自主知识产权的科技成果设计和策划，探索对拟转化成果进行产业化可行性和市场匹配度评估。创新成果转化激励机制，出台技术成果转让所得收入的直接奖励等短期激励系列政策，探索和落实股权奖励、股权出售、股份期权、分红等长效激励机制，保障研发人员及团队的收益比例不低于科技成果转化所得收益的70%。完善创新成果考评机制，实行以创新成果质量和贡献为导向的考核评价机制，组建市级电子信息行业专家库，增强研究成果的同行评价。</w:t>
      </w:r>
    </w:p>
    <w:p>
      <w:pPr>
        <w:keepNext w:val="0"/>
        <w:keepLines w:val="0"/>
        <w:pageBreakBefore w:val="0"/>
        <w:widowControl w:val="0"/>
        <w:kinsoku/>
        <w:wordWrap/>
        <w:overflowPunct/>
        <w:topLinePunct w:val="0"/>
        <w:autoSpaceDE/>
        <w:autoSpaceDN/>
        <w:bidi w:val="0"/>
        <w:spacing w:line="580" w:lineRule="exact"/>
        <w:ind w:firstLine="643"/>
        <w:jc w:val="left"/>
        <w:textAlignment w:val="auto"/>
        <w:outlineLvl w:val="1"/>
        <w:rPr>
          <w:rFonts w:eastAsia="楷体_GB2312"/>
          <w:b/>
          <w:bCs/>
          <w:color w:val="auto"/>
          <w:kern w:val="28"/>
          <w:highlight w:val="none"/>
        </w:rPr>
      </w:pPr>
      <w:bookmarkStart w:id="156" w:name="_Toc24869"/>
      <w:bookmarkStart w:id="157" w:name="_Toc88257163"/>
      <w:bookmarkStart w:id="158" w:name="_Toc1095711230"/>
      <w:bookmarkStart w:id="159" w:name="_Toc31669"/>
      <w:r>
        <w:rPr>
          <w:rFonts w:eastAsia="楷体_GB2312"/>
          <w:b/>
          <w:bCs/>
          <w:color w:val="auto"/>
          <w:kern w:val="28"/>
          <w:highlight w:val="none"/>
        </w:rPr>
        <w:t>（</w:t>
      </w:r>
      <w:r>
        <w:rPr>
          <w:rFonts w:hint="eastAsia" w:eastAsia="楷体_GB2312"/>
          <w:b/>
          <w:bCs/>
          <w:color w:val="auto"/>
          <w:kern w:val="28"/>
          <w:highlight w:val="none"/>
          <w:lang w:eastAsia="zh-CN"/>
        </w:rPr>
        <w:t>四</w:t>
      </w:r>
      <w:r>
        <w:rPr>
          <w:rFonts w:eastAsia="楷体_GB2312"/>
          <w:b/>
          <w:bCs/>
          <w:color w:val="auto"/>
          <w:kern w:val="28"/>
          <w:highlight w:val="none"/>
        </w:rPr>
        <w:t>）人才引进支撑工程</w:t>
      </w:r>
      <w:bookmarkEnd w:id="156"/>
      <w:bookmarkEnd w:id="157"/>
      <w:bookmarkEnd w:id="158"/>
      <w:bookmarkEnd w:id="159"/>
    </w:p>
    <w:p>
      <w:pPr>
        <w:keepNext w:val="0"/>
        <w:keepLines w:val="0"/>
        <w:pageBreakBefore w:val="0"/>
        <w:widowControl w:val="0"/>
        <w:kinsoku/>
        <w:wordWrap/>
        <w:overflowPunct/>
        <w:topLinePunct w:val="0"/>
        <w:autoSpaceDE/>
        <w:autoSpaceDN/>
        <w:bidi w:val="0"/>
        <w:spacing w:line="580" w:lineRule="exact"/>
        <w:ind w:firstLine="667"/>
        <w:textAlignment w:val="auto"/>
        <w:rPr>
          <w:color w:val="auto"/>
          <w:highlight w:val="none"/>
        </w:rPr>
      </w:pPr>
      <w:r>
        <w:rPr>
          <w:b/>
          <w:color w:val="auto"/>
          <w:spacing w:val="6"/>
          <w:highlight w:val="none"/>
        </w:rPr>
        <w:t>加强产业高端人才引进。</w:t>
      </w:r>
      <w:r>
        <w:rPr>
          <w:rFonts w:hint="eastAsia"/>
          <w:color w:val="auto"/>
          <w:highlight w:val="none"/>
        </w:rPr>
        <w:t>面向</w:t>
      </w:r>
      <w:r>
        <w:rPr>
          <w:color w:val="auto"/>
          <w:highlight w:val="none"/>
        </w:rPr>
        <w:t>重点产业链实施“产业引才”，围绕VR国家级创新中心建设</w:t>
      </w:r>
      <w:r>
        <w:rPr>
          <w:rFonts w:hint="eastAsia"/>
          <w:color w:val="auto"/>
          <w:highlight w:val="none"/>
        </w:rPr>
        <w:t>等关键需求</w:t>
      </w:r>
      <w:r>
        <w:rPr>
          <w:color w:val="auto"/>
          <w:highlight w:val="none"/>
        </w:rPr>
        <w:t>，</w:t>
      </w:r>
      <w:r>
        <w:rPr>
          <w:bCs/>
          <w:color w:val="auto"/>
          <w:spacing w:val="6"/>
          <w:highlight w:val="none"/>
        </w:rPr>
        <w:t>精准发布</w:t>
      </w:r>
      <w:r>
        <w:rPr>
          <w:rFonts w:hint="eastAsia"/>
          <w:bCs/>
          <w:color w:val="auto"/>
          <w:spacing w:val="6"/>
          <w:highlight w:val="none"/>
        </w:rPr>
        <w:t>细分</w:t>
      </w:r>
      <w:r>
        <w:rPr>
          <w:bCs/>
          <w:color w:val="auto"/>
          <w:spacing w:val="6"/>
          <w:highlight w:val="none"/>
        </w:rPr>
        <w:t>领域急需紧缺人才目录，</w:t>
      </w:r>
      <w:r>
        <w:rPr>
          <w:color w:val="auto"/>
          <w:highlight w:val="none"/>
        </w:rPr>
        <w:t>提升高层次人才、海外优秀人才的引进开放度和精准度。实施顶尖领军人才领航计划，组织多种形式的人才引进活动，持续落实</w:t>
      </w:r>
      <w:r>
        <w:rPr>
          <w:rFonts w:hint="eastAsia"/>
          <w:color w:val="auto"/>
          <w:highlight w:val="none"/>
        </w:rPr>
        <w:t>2018年</w:t>
      </w:r>
      <w:r>
        <w:rPr>
          <w:color w:val="auto"/>
          <w:highlight w:val="none"/>
        </w:rPr>
        <w:t>“</w:t>
      </w:r>
      <w:r>
        <w:rPr>
          <w:rFonts w:hint="eastAsia"/>
          <w:color w:val="auto"/>
          <w:highlight w:val="none"/>
        </w:rPr>
        <w:t>人才新政—青才计划</w:t>
      </w:r>
      <w:r>
        <w:rPr>
          <w:color w:val="auto"/>
          <w:highlight w:val="none"/>
        </w:rPr>
        <w:t>”和“人才</w:t>
      </w:r>
      <w:r>
        <w:rPr>
          <w:rFonts w:hint="eastAsia"/>
          <w:color w:val="auto"/>
          <w:highlight w:val="none"/>
        </w:rPr>
        <w:t>10条</w:t>
      </w:r>
      <w:r>
        <w:rPr>
          <w:color w:val="auto"/>
          <w:highlight w:val="none"/>
        </w:rPr>
        <w:t>”。优化人才激励机制，</w:t>
      </w:r>
      <w:r>
        <w:rPr>
          <w:color w:val="auto"/>
          <w:spacing w:val="6"/>
          <w:highlight w:val="none"/>
        </w:rPr>
        <w:t>对引进的</w:t>
      </w:r>
      <w:r>
        <w:rPr>
          <w:color w:val="auto"/>
          <w:highlight w:val="none"/>
        </w:rPr>
        <w:t>行业领军人才、专家学者发放具有区域竞争力的配套福利，提供人才及家属落户、安家住房补贴、子女入读幼儿园及义务教育学校</w:t>
      </w:r>
      <w:r>
        <w:rPr>
          <w:rFonts w:hint="eastAsia"/>
          <w:color w:val="auto"/>
          <w:highlight w:val="none"/>
        </w:rPr>
        <w:t>等</w:t>
      </w:r>
      <w:r>
        <w:rPr>
          <w:color w:val="auto"/>
          <w:highlight w:val="none"/>
        </w:rPr>
        <w:t>统筹安排</w:t>
      </w:r>
      <w:r>
        <w:rPr>
          <w:rFonts w:hint="eastAsia"/>
          <w:color w:val="auto"/>
          <w:highlight w:val="none"/>
        </w:rPr>
        <w:t>。</w:t>
      </w:r>
      <w:r>
        <w:rPr>
          <w:color w:val="auto"/>
          <w:highlight w:val="none"/>
        </w:rPr>
        <w:t>创新个性化引才策略，</w:t>
      </w:r>
      <w:r>
        <w:rPr>
          <w:bCs/>
          <w:color w:val="auto"/>
          <w:spacing w:val="6"/>
          <w:highlight w:val="none"/>
        </w:rPr>
        <w:t>对关键产业领域的领军人才和创新团队带头人，</w:t>
      </w:r>
      <w:r>
        <w:rPr>
          <w:color w:val="auto"/>
          <w:highlight w:val="none"/>
        </w:rPr>
        <w:t>采取“一产一人一事一议”机制，鼓励采用兼职、短期聘用、定期服务等柔性模式，引进长三角、</w:t>
      </w:r>
      <w:r>
        <w:rPr>
          <w:rFonts w:hint="eastAsia"/>
          <w:color w:val="auto"/>
          <w:highlight w:val="none"/>
        </w:rPr>
        <w:t>粤港澳</w:t>
      </w:r>
      <w:r>
        <w:rPr>
          <w:color w:val="auto"/>
          <w:highlight w:val="none"/>
        </w:rPr>
        <w:t>大湾区高端技术人才。支持各区县、园区创新人才引进计划，</w:t>
      </w:r>
      <w:r>
        <w:rPr>
          <w:color w:val="auto"/>
          <w:spacing w:val="6"/>
          <w:highlight w:val="none"/>
        </w:rPr>
        <w:t>对于符合各市县重点发展方向的海内外高端引智项目，根据评定给予一定经费资助。</w:t>
      </w:r>
    </w:p>
    <w:p>
      <w:pPr>
        <w:keepNext w:val="0"/>
        <w:keepLines w:val="0"/>
        <w:pageBreakBefore w:val="0"/>
        <w:widowControl w:val="0"/>
        <w:kinsoku/>
        <w:wordWrap/>
        <w:overflowPunct/>
        <w:topLinePunct w:val="0"/>
        <w:autoSpaceDE/>
        <w:autoSpaceDN/>
        <w:bidi w:val="0"/>
        <w:spacing w:line="580" w:lineRule="exact"/>
        <w:ind w:firstLine="667"/>
        <w:textAlignment w:val="auto"/>
        <w:rPr>
          <w:color w:val="auto"/>
          <w:highlight w:val="none"/>
        </w:rPr>
      </w:pPr>
      <w:r>
        <w:rPr>
          <w:b/>
          <w:color w:val="auto"/>
          <w:spacing w:val="6"/>
          <w:highlight w:val="none"/>
        </w:rPr>
        <w:t>加强专业技术人才培养。</w:t>
      </w:r>
      <w:r>
        <w:rPr>
          <w:color w:val="auto"/>
          <w:spacing w:val="6"/>
          <w:highlight w:val="none"/>
        </w:rPr>
        <w:t>加大校企合作力度，支持</w:t>
      </w:r>
      <w:r>
        <w:rPr>
          <w:bCs/>
          <w:color w:val="auto"/>
          <w:spacing w:val="6"/>
          <w:highlight w:val="none"/>
        </w:rPr>
        <w:t>电子信息重点领域的联合实验室建设，鼓励南昌大学、江西师范大学、江西理工大学等重点高校引进重点企业研发中心，</w:t>
      </w:r>
      <w:r>
        <w:rPr>
          <w:color w:val="auto"/>
          <w:spacing w:val="6"/>
          <w:highlight w:val="none"/>
        </w:rPr>
        <w:t>共同培育集产学研用一体的技术创新人才。</w:t>
      </w:r>
      <w:r>
        <w:rPr>
          <w:color w:val="auto"/>
          <w:highlight w:val="none"/>
        </w:rPr>
        <w:t>发挥南昌市职业院校的资源优势，紧密对接电子信息企业的实时需求，探索定向式、订单式等多元化的职业技术人才培育方式，</w:t>
      </w:r>
      <w:r>
        <w:rPr>
          <w:color w:val="auto"/>
          <w:spacing w:val="6"/>
          <w:highlight w:val="none"/>
        </w:rPr>
        <w:t>培养电子信息复合型管理人才和实用型高端蓝领。</w:t>
      </w:r>
      <w:r>
        <w:rPr>
          <w:color w:val="auto"/>
          <w:highlight w:val="none"/>
        </w:rPr>
        <w:t>重视提升技术人才的综合素质，定期</w:t>
      </w:r>
      <w:r>
        <w:rPr>
          <w:color w:val="auto"/>
          <w:spacing w:val="6"/>
          <w:highlight w:val="none"/>
        </w:rPr>
        <w:t>组织专项培训、技能比赛、</w:t>
      </w:r>
      <w:r>
        <w:rPr>
          <w:color w:val="auto"/>
          <w:highlight w:val="none"/>
        </w:rPr>
        <w:t>国际交流</w:t>
      </w:r>
      <w:r>
        <w:rPr>
          <w:color w:val="auto"/>
          <w:spacing w:val="6"/>
          <w:highlight w:val="none"/>
        </w:rPr>
        <w:t>等活动，</w:t>
      </w:r>
      <w:r>
        <w:rPr>
          <w:color w:val="auto"/>
          <w:highlight w:val="none"/>
        </w:rPr>
        <w:t>强化专业技术、职业技能、乡土文化、国情研修等方面培训。顺应电子信息产业技术更迭速度快、跨界创新场景多的趋势，拓展灵活、机动的人才培养模式，搭建线上人才培训服务平台，充分发挥虚拟现实特色，集成虚拟创新创业平台、线上测评等功能，促进线上、线下人才交流活动协同开展。</w:t>
      </w:r>
    </w:p>
    <w:p>
      <w:pPr>
        <w:keepNext w:val="0"/>
        <w:keepLines w:val="0"/>
        <w:pageBreakBefore w:val="0"/>
        <w:widowControl w:val="0"/>
        <w:kinsoku/>
        <w:wordWrap/>
        <w:overflowPunct/>
        <w:topLinePunct w:val="0"/>
        <w:autoSpaceDE/>
        <w:autoSpaceDN/>
        <w:bidi w:val="0"/>
        <w:spacing w:line="580" w:lineRule="exact"/>
        <w:ind w:firstLine="643"/>
        <w:jc w:val="left"/>
        <w:textAlignment w:val="auto"/>
        <w:outlineLvl w:val="1"/>
        <w:rPr>
          <w:rFonts w:eastAsia="楷体_GB2312"/>
          <w:b/>
          <w:bCs/>
          <w:color w:val="auto"/>
          <w:kern w:val="28"/>
          <w:highlight w:val="none"/>
        </w:rPr>
      </w:pPr>
      <w:bookmarkStart w:id="160" w:name="_Toc1975877399"/>
      <w:bookmarkStart w:id="161" w:name="_Toc25825"/>
      <w:bookmarkStart w:id="162" w:name="_Toc88257164"/>
      <w:bookmarkStart w:id="163" w:name="_Toc16163"/>
      <w:r>
        <w:rPr>
          <w:rFonts w:eastAsia="楷体_GB2312"/>
          <w:b/>
          <w:bCs/>
          <w:color w:val="auto"/>
          <w:kern w:val="28"/>
          <w:highlight w:val="none"/>
        </w:rPr>
        <w:t>（</w:t>
      </w:r>
      <w:r>
        <w:rPr>
          <w:rFonts w:hint="eastAsia" w:eastAsia="楷体_GB2312"/>
          <w:b/>
          <w:bCs/>
          <w:color w:val="auto"/>
          <w:kern w:val="28"/>
          <w:highlight w:val="none"/>
          <w:lang w:eastAsia="zh-CN"/>
        </w:rPr>
        <w:t>五</w:t>
      </w:r>
      <w:r>
        <w:rPr>
          <w:rFonts w:eastAsia="楷体_GB2312"/>
          <w:b/>
          <w:bCs/>
          <w:color w:val="auto"/>
          <w:kern w:val="28"/>
          <w:highlight w:val="none"/>
        </w:rPr>
        <w:t>）公共服务优化工程</w:t>
      </w:r>
      <w:bookmarkEnd w:id="160"/>
      <w:bookmarkEnd w:id="161"/>
      <w:bookmarkEnd w:id="162"/>
      <w:bookmarkEnd w:id="163"/>
    </w:p>
    <w:p>
      <w:pPr>
        <w:keepNext w:val="0"/>
        <w:keepLines w:val="0"/>
        <w:pageBreakBefore w:val="0"/>
        <w:widowControl w:val="0"/>
        <w:kinsoku/>
        <w:wordWrap/>
        <w:overflowPunct/>
        <w:topLinePunct w:val="0"/>
        <w:autoSpaceDE/>
        <w:autoSpaceDN/>
        <w:bidi w:val="0"/>
        <w:spacing w:line="580" w:lineRule="exact"/>
        <w:ind w:firstLine="643"/>
        <w:textAlignment w:val="auto"/>
        <w:rPr>
          <w:color w:val="auto"/>
          <w:highlight w:val="none"/>
        </w:rPr>
      </w:pPr>
      <w:r>
        <w:rPr>
          <w:b/>
          <w:color w:val="auto"/>
          <w:highlight w:val="none"/>
        </w:rPr>
        <w:t>搭建行业信息服务平台。</w:t>
      </w:r>
      <w:r>
        <w:rPr>
          <w:color w:val="auto"/>
          <w:highlight w:val="none"/>
        </w:rPr>
        <w:t>以行业主管部门为主导，面向电子信息领域企业，搭建集信息交流、产品展示、业务对接等为一体的综合性信息服务平台，宣传国家、江西省及南昌市关于电子信息产业的最新政策，推广南昌市企业和项目的成功案例，为企业提供权威、快捷的信息获取和发布渠道。</w:t>
      </w:r>
    </w:p>
    <w:p>
      <w:pPr>
        <w:keepNext w:val="0"/>
        <w:keepLines w:val="0"/>
        <w:pageBreakBefore w:val="0"/>
        <w:widowControl w:val="0"/>
        <w:kinsoku/>
        <w:wordWrap/>
        <w:overflowPunct/>
        <w:topLinePunct w:val="0"/>
        <w:autoSpaceDE/>
        <w:autoSpaceDN/>
        <w:bidi w:val="0"/>
        <w:spacing w:line="580" w:lineRule="exact"/>
        <w:ind w:firstLine="643"/>
        <w:textAlignment w:val="auto"/>
        <w:rPr>
          <w:color w:val="auto"/>
          <w:highlight w:val="none"/>
        </w:rPr>
      </w:pPr>
      <w:r>
        <w:rPr>
          <w:b/>
          <w:color w:val="auto"/>
          <w:highlight w:val="none"/>
        </w:rPr>
        <w:t>建设技术创新服务平台。</w:t>
      </w:r>
      <w:r>
        <w:rPr>
          <w:color w:val="auto"/>
          <w:highlight w:val="none"/>
        </w:rPr>
        <w:t>依托南昌大学等重点高校，建设开源软件技术社区，提供代码托管、集成测试、工具下载等服务。依托龙头企业搭建共性技术交流平台，推动技术创新和应用创新的共享与合作，实现技术、标准、产品及解决方案的加速迭代，促进关键技术在上下游企业的体系化、规模化应用。依托专业机构建立知识产权服务中心，提供法律培训、法律咨询、专利申请辅导等服务。</w:t>
      </w:r>
    </w:p>
    <w:p>
      <w:pPr>
        <w:keepNext w:val="0"/>
        <w:keepLines w:val="0"/>
        <w:pageBreakBefore w:val="0"/>
        <w:widowControl w:val="0"/>
        <w:kinsoku/>
        <w:wordWrap/>
        <w:overflowPunct/>
        <w:topLinePunct w:val="0"/>
        <w:autoSpaceDE/>
        <w:autoSpaceDN/>
        <w:bidi w:val="0"/>
        <w:spacing w:line="580" w:lineRule="exact"/>
        <w:ind w:firstLine="643"/>
        <w:textAlignment w:val="auto"/>
        <w:rPr>
          <w:color w:val="auto"/>
          <w:highlight w:val="none"/>
        </w:rPr>
      </w:pPr>
      <w:r>
        <w:rPr>
          <w:b/>
          <w:color w:val="auto"/>
          <w:highlight w:val="none"/>
        </w:rPr>
        <w:t>搭建多元化投融资平台。</w:t>
      </w:r>
      <w:r>
        <w:rPr>
          <w:color w:val="auto"/>
          <w:highlight w:val="none"/>
        </w:rPr>
        <w:t>发挥财政专项资金引导作用，探索电子信息产业母基金+细分领域子基金的新型模式，打造高标准融资平台，拓宽投资机构、社会资本合作渠道，营造有利于南昌市电子信息产业发展的投融资环境。建立健全多层次、全方位、多形式的融资担保体系，大力发展政府主导的融资担保机构，强化对电子信息企业研发创新、应用示范项目的信贷支持。面向电子信息领域，降低电子信息降低中小企业融资门槛，建立完善风险投资退出机制，鼓励创新创业企业在科创板上市融资。</w:t>
      </w:r>
      <w:bookmarkStart w:id="164" w:name="_Toc18627"/>
    </w:p>
    <w:p>
      <w:pPr>
        <w:keepNext w:val="0"/>
        <w:keepLines w:val="0"/>
        <w:pageBreakBefore w:val="0"/>
        <w:widowControl w:val="0"/>
        <w:kinsoku/>
        <w:wordWrap/>
        <w:overflowPunct/>
        <w:topLinePunct w:val="0"/>
        <w:autoSpaceDE/>
        <w:autoSpaceDN/>
        <w:bidi w:val="0"/>
        <w:spacing w:line="580" w:lineRule="exact"/>
        <w:textAlignment w:val="auto"/>
        <w:outlineLvl w:val="0"/>
        <w:rPr>
          <w:rFonts w:eastAsia="黑体"/>
          <w:bCs/>
          <w:color w:val="auto"/>
          <w:kern w:val="44"/>
          <w:highlight w:val="none"/>
        </w:rPr>
      </w:pPr>
      <w:bookmarkStart w:id="165" w:name="_Toc88257165"/>
      <w:bookmarkStart w:id="166" w:name="_Toc1841236175"/>
      <w:bookmarkStart w:id="167" w:name="_Toc9752"/>
      <w:r>
        <w:rPr>
          <w:rFonts w:eastAsia="黑体"/>
          <w:bCs/>
          <w:color w:val="auto"/>
          <w:kern w:val="44"/>
          <w:highlight w:val="none"/>
        </w:rPr>
        <w:t>七、保障措施</w:t>
      </w:r>
      <w:bookmarkEnd w:id="164"/>
      <w:bookmarkEnd w:id="165"/>
      <w:bookmarkEnd w:id="166"/>
      <w:bookmarkEnd w:id="167"/>
    </w:p>
    <w:p>
      <w:pPr>
        <w:keepNext w:val="0"/>
        <w:keepLines w:val="0"/>
        <w:pageBreakBefore w:val="0"/>
        <w:widowControl w:val="0"/>
        <w:kinsoku/>
        <w:wordWrap/>
        <w:overflowPunct/>
        <w:topLinePunct w:val="0"/>
        <w:autoSpaceDE/>
        <w:autoSpaceDN/>
        <w:bidi w:val="0"/>
        <w:spacing w:line="580" w:lineRule="exact"/>
        <w:ind w:firstLine="643"/>
        <w:textAlignment w:val="auto"/>
        <w:outlineLvl w:val="1"/>
        <w:rPr>
          <w:rFonts w:eastAsia="楷体_GB2312"/>
          <w:b/>
          <w:bCs/>
          <w:color w:val="auto"/>
          <w:kern w:val="28"/>
          <w:highlight w:val="none"/>
        </w:rPr>
      </w:pPr>
      <w:bookmarkStart w:id="168" w:name="_Toc88257166"/>
      <w:bookmarkStart w:id="169" w:name="_Toc23214"/>
      <w:bookmarkStart w:id="170" w:name="_Toc13519"/>
      <w:bookmarkStart w:id="171" w:name="_Toc1194215057"/>
      <w:r>
        <w:rPr>
          <w:rFonts w:eastAsia="楷体_GB2312"/>
          <w:b/>
          <w:bCs/>
          <w:color w:val="auto"/>
          <w:kern w:val="28"/>
          <w:highlight w:val="none"/>
        </w:rPr>
        <w:t>（一）加强统筹协调力度</w:t>
      </w:r>
      <w:bookmarkEnd w:id="168"/>
      <w:bookmarkEnd w:id="169"/>
      <w:bookmarkEnd w:id="170"/>
      <w:bookmarkEnd w:id="171"/>
    </w:p>
    <w:p>
      <w:pPr>
        <w:keepNext w:val="0"/>
        <w:keepLines w:val="0"/>
        <w:pageBreakBefore w:val="0"/>
        <w:widowControl w:val="0"/>
        <w:kinsoku/>
        <w:wordWrap/>
        <w:overflowPunct/>
        <w:topLinePunct w:val="0"/>
        <w:autoSpaceDE/>
        <w:autoSpaceDN/>
        <w:bidi w:val="0"/>
        <w:spacing w:line="580" w:lineRule="exact"/>
        <w:textAlignment w:val="auto"/>
        <w:rPr>
          <w:color w:val="auto"/>
          <w:highlight w:val="none"/>
        </w:rPr>
      </w:pPr>
      <w:r>
        <w:rPr>
          <w:color w:val="auto"/>
          <w:highlight w:val="none"/>
        </w:rPr>
        <w:t>分管副市长牵头、相关市直单位设工作专班、链长制工作办公室重点参与，成立南昌市万亿级电子信息产业推进工作领导小组，统筹协调各项工作。发挥移动智能终端、LED、</w:t>
      </w:r>
      <w:r>
        <w:rPr>
          <w:rFonts w:hint="eastAsia"/>
          <w:color w:val="auto"/>
          <w:highlight w:val="none"/>
        </w:rPr>
        <w:t>VR</w:t>
      </w:r>
      <w:r>
        <w:rPr>
          <w:color w:val="auto"/>
          <w:highlight w:val="none"/>
        </w:rPr>
        <w:t>等产业链链长制优势，加强规划协调力度，定期更新重点领域“四图”“五清单”，着力解决产业链供应链的堵点和痛点，促进大中小企业、内外贸融通协调发展。建立部门会商制度，强化市、县区、街道办、园区联动和各区（县）间协作能力，加强对重点企业、重大项目、重点集群的统筹调度。强化监督考核，合理分解重点发展任务，明确责任主体和相关协作机制，将工作推进情况作为市委市政府巡察、督查的重要内容，定期进行考评和公示，促进跨部门、跨区域、跨企业的效率提升。</w:t>
      </w:r>
    </w:p>
    <w:p>
      <w:pPr>
        <w:keepNext w:val="0"/>
        <w:keepLines w:val="0"/>
        <w:pageBreakBefore w:val="0"/>
        <w:widowControl w:val="0"/>
        <w:kinsoku/>
        <w:wordWrap/>
        <w:overflowPunct/>
        <w:topLinePunct w:val="0"/>
        <w:autoSpaceDE/>
        <w:autoSpaceDN/>
        <w:bidi w:val="0"/>
        <w:spacing w:line="580" w:lineRule="exact"/>
        <w:ind w:firstLine="643"/>
        <w:textAlignment w:val="auto"/>
        <w:outlineLvl w:val="1"/>
        <w:rPr>
          <w:rFonts w:eastAsia="楷体_GB2312"/>
          <w:b/>
          <w:bCs/>
          <w:color w:val="auto"/>
          <w:kern w:val="28"/>
          <w:highlight w:val="none"/>
        </w:rPr>
      </w:pPr>
      <w:bookmarkStart w:id="172" w:name="_Toc122874183"/>
      <w:bookmarkStart w:id="173" w:name="_Toc15044"/>
      <w:bookmarkStart w:id="174" w:name="_Toc18679"/>
      <w:bookmarkStart w:id="175" w:name="_Toc88257167"/>
      <w:r>
        <w:rPr>
          <w:rFonts w:eastAsia="楷体_GB2312"/>
          <w:b/>
          <w:bCs/>
          <w:color w:val="auto"/>
          <w:kern w:val="28"/>
          <w:highlight w:val="none"/>
        </w:rPr>
        <w:t>（二）优化企业营商环境</w:t>
      </w:r>
      <w:bookmarkEnd w:id="172"/>
      <w:bookmarkEnd w:id="173"/>
      <w:bookmarkEnd w:id="174"/>
      <w:bookmarkEnd w:id="175"/>
    </w:p>
    <w:p>
      <w:pPr>
        <w:keepNext w:val="0"/>
        <w:keepLines w:val="0"/>
        <w:pageBreakBefore w:val="0"/>
        <w:widowControl w:val="0"/>
        <w:kinsoku/>
        <w:wordWrap/>
        <w:overflowPunct/>
        <w:topLinePunct w:val="0"/>
        <w:autoSpaceDE/>
        <w:autoSpaceDN/>
        <w:bidi w:val="0"/>
        <w:spacing w:line="580" w:lineRule="exact"/>
        <w:textAlignment w:val="auto"/>
        <w:rPr>
          <w:color w:val="auto"/>
          <w:highlight w:val="none"/>
        </w:rPr>
      </w:pPr>
      <w:r>
        <w:rPr>
          <w:color w:val="auto"/>
          <w:highlight w:val="none"/>
        </w:rPr>
        <w:t>落实《南昌市优化提升营商环境十大行动方案》，全面推进企业在营业审批、施工许可、投融资、跨境贸易、纳税、用水、用电、用地等方面便利化。加快“放管服”改革，进一步压缩电子信息领域投资项目的前期审批事项和环节，建设南昌市跨部门、跨区域的企业事中事后监管平台，依托大数据、物联网、5G等新一代信息技术，创新线上、线下一体化的新型市场监管模式。建立南昌市统一权威的电子信息领域政策发布平台，通过新媒体、社交平台等组织开展灵活多样的政策解读，提高政策宣贯落实效果，进一步提升政务服务窗口的服务质量，做优营商环境“最后一公里”。开展知识产权“护航”行动，加大对专利侵权违法行为的打击力度，提高专利侵权纠纷案件处理能力。</w:t>
      </w:r>
    </w:p>
    <w:p>
      <w:pPr>
        <w:keepNext w:val="0"/>
        <w:keepLines w:val="0"/>
        <w:pageBreakBefore w:val="0"/>
        <w:widowControl w:val="0"/>
        <w:kinsoku/>
        <w:wordWrap/>
        <w:overflowPunct/>
        <w:topLinePunct w:val="0"/>
        <w:autoSpaceDE/>
        <w:autoSpaceDN/>
        <w:bidi w:val="0"/>
        <w:spacing w:line="580" w:lineRule="exact"/>
        <w:ind w:firstLine="643"/>
        <w:textAlignment w:val="auto"/>
        <w:outlineLvl w:val="1"/>
        <w:rPr>
          <w:rFonts w:eastAsia="楷体_GB2312"/>
          <w:b/>
          <w:bCs/>
          <w:color w:val="auto"/>
          <w:kern w:val="28"/>
          <w:highlight w:val="none"/>
        </w:rPr>
      </w:pPr>
      <w:bookmarkStart w:id="176" w:name="_Toc515450509"/>
      <w:bookmarkStart w:id="177" w:name="_Toc22282"/>
      <w:bookmarkStart w:id="178" w:name="_Toc88257168"/>
      <w:bookmarkStart w:id="179" w:name="_Toc16559"/>
      <w:r>
        <w:rPr>
          <w:rFonts w:eastAsia="楷体_GB2312"/>
          <w:b/>
          <w:bCs/>
          <w:color w:val="auto"/>
          <w:kern w:val="28"/>
          <w:highlight w:val="none"/>
        </w:rPr>
        <w:t>（三）加快产城融合发展</w:t>
      </w:r>
      <w:bookmarkEnd w:id="176"/>
      <w:bookmarkEnd w:id="177"/>
      <w:bookmarkEnd w:id="178"/>
      <w:bookmarkEnd w:id="179"/>
    </w:p>
    <w:p>
      <w:pPr>
        <w:keepNext w:val="0"/>
        <w:keepLines w:val="0"/>
        <w:pageBreakBefore w:val="0"/>
        <w:widowControl w:val="0"/>
        <w:kinsoku/>
        <w:wordWrap/>
        <w:overflowPunct/>
        <w:topLinePunct w:val="0"/>
        <w:autoSpaceDE/>
        <w:autoSpaceDN/>
        <w:bidi w:val="0"/>
        <w:spacing w:line="580" w:lineRule="exact"/>
        <w:textAlignment w:val="auto"/>
        <w:rPr>
          <w:color w:val="auto"/>
          <w:highlight w:val="none"/>
        </w:rPr>
      </w:pPr>
      <w:r>
        <w:rPr>
          <w:color w:val="auto"/>
          <w:highlight w:val="none"/>
        </w:rPr>
        <w:t>完善新型城镇建设，继续做强做优金融商务区和总部楼宇经济，积极引入新业态、新经济、新模式，大力发展电子商务、金融服务、信息服务等服务性行业，为企业和市民提供高端生产性和生活性有效供给，打造红谷滩区等一批新型产城融合示范区。建立跨部门、跨领域协作的南昌市智能城市管理系统，通过大数据、人工智能、5G等信息技术，实现精准化、协同化的城市管理和多层次、全覆盖、高品质的公共服务，促进城市信息资源融合共享，为企业发展提供丰富的信息支持。推动产业创新园区、虚拟现实科创小镇等新型融合基地建设，鼓励新型科研机构聚集，孵化和培育未来的高端、前端、深端新型产业，为未来南昌市“以产促城”</w:t>
      </w:r>
      <w:r>
        <w:rPr>
          <w:rFonts w:hint="eastAsia"/>
          <w:color w:val="auto"/>
          <w:highlight w:val="none"/>
        </w:rPr>
        <w:t>、</w:t>
      </w:r>
      <w:r>
        <w:rPr>
          <w:color w:val="auto"/>
          <w:highlight w:val="none"/>
        </w:rPr>
        <w:t>推动城市高质量发展奠定坚实基础。</w:t>
      </w:r>
      <w:bookmarkStart w:id="180" w:name="_Toc4724"/>
    </w:p>
    <w:p>
      <w:pPr>
        <w:keepNext w:val="0"/>
        <w:keepLines w:val="0"/>
        <w:pageBreakBefore w:val="0"/>
        <w:widowControl w:val="0"/>
        <w:kinsoku/>
        <w:wordWrap/>
        <w:overflowPunct/>
        <w:topLinePunct w:val="0"/>
        <w:autoSpaceDE/>
        <w:autoSpaceDN/>
        <w:bidi w:val="0"/>
        <w:spacing w:after="0" w:line="580" w:lineRule="exact"/>
        <w:ind w:firstLine="643"/>
        <w:textAlignment w:val="auto"/>
        <w:outlineLvl w:val="1"/>
        <w:rPr>
          <w:rFonts w:eastAsia="楷体_GB2312"/>
          <w:b/>
          <w:bCs/>
          <w:color w:val="auto"/>
          <w:kern w:val="28"/>
          <w:highlight w:val="none"/>
        </w:rPr>
      </w:pPr>
      <w:bookmarkStart w:id="181" w:name="_Toc48556340"/>
      <w:bookmarkStart w:id="182" w:name="_Toc88257169"/>
      <w:r>
        <w:rPr>
          <w:rFonts w:eastAsia="楷体_GB2312"/>
          <w:b/>
          <w:bCs/>
          <w:color w:val="auto"/>
          <w:kern w:val="28"/>
          <w:highlight w:val="none"/>
        </w:rPr>
        <w:t>（</w:t>
      </w:r>
      <w:r>
        <w:rPr>
          <w:rFonts w:hint="eastAsia" w:eastAsia="楷体_GB2312"/>
          <w:b/>
          <w:bCs/>
          <w:color w:val="auto"/>
          <w:kern w:val="28"/>
          <w:highlight w:val="none"/>
        </w:rPr>
        <w:t>四</w:t>
      </w:r>
      <w:r>
        <w:rPr>
          <w:rFonts w:eastAsia="楷体_GB2312"/>
          <w:b/>
          <w:bCs/>
          <w:color w:val="auto"/>
          <w:kern w:val="28"/>
          <w:highlight w:val="none"/>
        </w:rPr>
        <w:t>）发挥央地联动效应</w:t>
      </w:r>
      <w:bookmarkEnd w:id="181"/>
      <w:bookmarkEnd w:id="182"/>
    </w:p>
    <w:bookmarkEnd w:id="180"/>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color w:val="auto"/>
          <w:highlight w:val="none"/>
        </w:rPr>
      </w:pPr>
      <w:r>
        <w:rPr>
          <w:color w:val="auto"/>
          <w:highlight w:val="none"/>
        </w:rPr>
        <w:t>积极对接国家发展和改革委员会、科学技术部、工业和信息化部等有关部委，鼓励企业、科研单位积极申报国家级重大专项、示范试点、科研基金等，提升南昌市电子信息产业在科研界和产业界的影响力。紧密联系中国超高清视频产业联盟、中国虚拟现实产业联盟、中国半导体协会、中国通信工业协会、中国电子学会等行业协会、产业联盟，实时引进优质资源和信息，及时协调解决产业发展过程中的问题。聘请知名行业专家组成专家咨询委员会，为南昌市重点产业链发展提供顶层设计谋划和战略决策咨询，对重大项目的阶段性进展开展评估和论证，对重要决策的制定发布提供决策咨询，对潜力项目加强指导推介。组织办好世界VR产业大会、世界</w:t>
      </w:r>
      <w:r>
        <w:rPr>
          <w:rFonts w:hint="eastAsia"/>
          <w:color w:val="auto"/>
          <w:highlight w:val="none"/>
        </w:rPr>
        <w:t>VR产业博览会、世界无线充电产业大会</w:t>
      </w:r>
      <w:r>
        <w:rPr>
          <w:color w:val="auto"/>
          <w:highlight w:val="none"/>
        </w:rPr>
        <w:t>等大型国际活动，提升南昌市品牌形象和影响力，争取更多国家政策的倾斜支持，推动虚拟现实等优势产业在全球影响力提升。</w:t>
      </w:r>
    </w:p>
    <w:p>
      <w:pPr>
        <w:keepNext w:val="0"/>
        <w:keepLines w:val="0"/>
        <w:pageBreakBefore w:val="0"/>
        <w:widowControl/>
        <w:kinsoku/>
        <w:wordWrap/>
        <w:overflowPunct/>
        <w:topLinePunct w:val="0"/>
        <w:autoSpaceDE/>
        <w:autoSpaceDN/>
        <w:bidi w:val="0"/>
        <w:spacing w:line="580" w:lineRule="exact"/>
        <w:ind w:firstLine="0" w:firstLineChars="0"/>
        <w:textAlignment w:val="auto"/>
        <w:outlineLvl w:val="0"/>
        <w:rPr>
          <w:rFonts w:eastAsia="黑体"/>
          <w:b/>
          <w:bCs/>
          <w:color w:val="auto"/>
          <w:kern w:val="44"/>
          <w:sz w:val="36"/>
          <w:szCs w:val="36"/>
          <w:highlight w:val="none"/>
        </w:rPr>
      </w:pPr>
      <w:r>
        <w:rPr>
          <w:rFonts w:eastAsia="黑体"/>
          <w:b/>
          <w:bCs/>
          <w:color w:val="auto"/>
          <w:kern w:val="44"/>
          <w:sz w:val="36"/>
          <w:szCs w:val="36"/>
          <w:highlight w:val="none"/>
        </w:rPr>
        <w:br w:type="page"/>
      </w:r>
      <w:bookmarkStart w:id="183" w:name="_Toc8054"/>
      <w:bookmarkStart w:id="184" w:name="_Toc22034"/>
      <w:bookmarkStart w:id="185" w:name="_Toc1278301268"/>
      <w:bookmarkStart w:id="186" w:name="_Toc88257170"/>
      <w:r>
        <w:rPr>
          <w:rFonts w:eastAsia="黑体"/>
          <w:bCs/>
          <w:color w:val="auto"/>
          <w:kern w:val="44"/>
          <w:sz w:val="36"/>
          <w:szCs w:val="36"/>
          <w:highlight w:val="none"/>
        </w:rPr>
        <w:t>附件：</w:t>
      </w:r>
      <w:bookmarkEnd w:id="183"/>
      <w:r>
        <w:rPr>
          <w:rFonts w:eastAsia="黑体"/>
          <w:bCs/>
          <w:color w:val="auto"/>
          <w:kern w:val="44"/>
          <w:sz w:val="36"/>
          <w:szCs w:val="36"/>
          <w:highlight w:val="none"/>
        </w:rPr>
        <w:t>重点产业及领域发展趋势判断与选择依据</w:t>
      </w:r>
      <w:bookmarkEnd w:id="184"/>
      <w:bookmarkEnd w:id="185"/>
      <w:bookmarkEnd w:id="186"/>
    </w:p>
    <w:p>
      <w:pPr>
        <w:keepNext w:val="0"/>
        <w:keepLines w:val="0"/>
        <w:pageBreakBefore w:val="0"/>
        <w:widowControl/>
        <w:kinsoku/>
        <w:wordWrap/>
        <w:overflowPunct/>
        <w:topLinePunct w:val="0"/>
        <w:autoSpaceDE/>
        <w:autoSpaceDN/>
        <w:bidi w:val="0"/>
        <w:spacing w:line="550" w:lineRule="exact"/>
        <w:ind w:firstLine="562"/>
        <w:textAlignment w:val="auto"/>
        <w:outlineLvl w:val="0"/>
        <w:rPr>
          <w:rFonts w:eastAsia="黑体"/>
          <w:b/>
          <w:color w:val="auto"/>
          <w:sz w:val="28"/>
          <w:szCs w:val="28"/>
          <w:highlight w:val="none"/>
        </w:rPr>
      </w:pPr>
      <w:bookmarkStart w:id="187" w:name="_Toc63181214"/>
      <w:bookmarkStart w:id="188" w:name="_Toc88257171"/>
      <w:bookmarkStart w:id="189" w:name="_Toc31399"/>
      <w:bookmarkStart w:id="190" w:name="_Toc28832"/>
      <w:bookmarkStart w:id="191" w:name="_Toc1047981773"/>
      <w:bookmarkStart w:id="192" w:name="_Toc10980"/>
      <w:bookmarkStart w:id="193" w:name="_Toc10750"/>
    </w:p>
    <w:p>
      <w:pPr>
        <w:keepNext w:val="0"/>
        <w:keepLines w:val="0"/>
        <w:pageBreakBefore w:val="0"/>
        <w:widowControl/>
        <w:kinsoku/>
        <w:wordWrap/>
        <w:overflowPunct/>
        <w:topLinePunct w:val="0"/>
        <w:autoSpaceDE/>
        <w:autoSpaceDN/>
        <w:bidi w:val="0"/>
        <w:spacing w:line="550" w:lineRule="exact"/>
        <w:ind w:firstLine="562"/>
        <w:textAlignment w:val="auto"/>
        <w:outlineLvl w:val="0"/>
        <w:rPr>
          <w:rFonts w:eastAsia="黑体"/>
          <w:b/>
          <w:color w:val="auto"/>
          <w:sz w:val="28"/>
          <w:szCs w:val="28"/>
          <w:highlight w:val="none"/>
        </w:rPr>
      </w:pPr>
      <w:r>
        <w:rPr>
          <w:rFonts w:eastAsia="黑体"/>
          <w:b/>
          <w:color w:val="auto"/>
          <w:sz w:val="28"/>
          <w:szCs w:val="28"/>
          <w:highlight w:val="none"/>
        </w:rPr>
        <w:t>附件1：5G产业选择依据和发展现状</w:t>
      </w:r>
      <w:bookmarkEnd w:id="187"/>
      <w:bookmarkEnd w:id="188"/>
      <w:bookmarkEnd w:id="189"/>
      <w:bookmarkEnd w:id="190"/>
      <w:bookmarkEnd w:id="191"/>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rPr>
      </w:pPr>
      <w:r>
        <w:rPr>
          <w:b/>
          <w:bCs/>
          <w:color w:val="auto"/>
          <w:sz w:val="28"/>
          <w:szCs w:val="28"/>
          <w:highlight w:val="none"/>
          <w:lang w:val="en-GB"/>
        </w:rPr>
        <w:t>（1）</w:t>
      </w:r>
      <w:r>
        <w:rPr>
          <w:b/>
          <w:bCs/>
          <w:color w:val="auto"/>
          <w:sz w:val="28"/>
          <w:szCs w:val="28"/>
          <w:highlight w:val="none"/>
        </w:rPr>
        <w:t>选择依据</w:t>
      </w:r>
    </w:p>
    <w:p>
      <w:pPr>
        <w:keepNext w:val="0"/>
        <w:keepLines w:val="0"/>
        <w:pageBreakBefore w:val="0"/>
        <w:widowControl/>
        <w:kinsoku/>
        <w:wordWrap/>
        <w:overflowPunct/>
        <w:topLinePunct w:val="0"/>
        <w:autoSpaceDE/>
        <w:autoSpaceDN/>
        <w:bidi w:val="0"/>
        <w:adjustRightInd w:val="0"/>
        <w:snapToGrid w:val="0"/>
        <w:spacing w:line="550" w:lineRule="exact"/>
        <w:ind w:firstLine="560"/>
        <w:textAlignment w:val="auto"/>
        <w:rPr>
          <w:color w:val="auto"/>
          <w:sz w:val="20"/>
          <w:szCs w:val="21"/>
          <w:highlight w:val="none"/>
          <w:lang w:val="en-GB"/>
        </w:rPr>
      </w:pPr>
      <w:r>
        <w:rPr>
          <w:color w:val="auto"/>
          <w:sz w:val="28"/>
          <w:szCs w:val="28"/>
          <w:highlight w:val="none"/>
          <w:lang w:val="en-GB"/>
        </w:rPr>
        <w:t>5G是当前全球数字化、智能化变革的重要基础性技术，受到各界高度重视。2019年，我国正式发布5G商用牌照，更加促进了5G在其它多个行业的飞速发展。</w:t>
      </w:r>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2</w:t>
      </w:r>
      <w:r>
        <w:rPr>
          <w:b/>
          <w:bCs/>
          <w:color w:val="auto"/>
          <w:sz w:val="28"/>
          <w:szCs w:val="28"/>
          <w:highlight w:val="none"/>
          <w:lang w:val="en-GB"/>
        </w:rPr>
        <w:t>）发展现状</w:t>
      </w:r>
    </w:p>
    <w:p>
      <w:pPr>
        <w:keepNext w:val="0"/>
        <w:keepLines w:val="0"/>
        <w:pageBreakBefore w:val="0"/>
        <w:widowControl/>
        <w:kinsoku/>
        <w:wordWrap/>
        <w:overflowPunct/>
        <w:topLinePunct w:val="0"/>
        <w:autoSpaceDE/>
        <w:autoSpaceDN/>
        <w:bidi w:val="0"/>
        <w:spacing w:line="550" w:lineRule="exact"/>
        <w:ind w:firstLine="560"/>
        <w:textAlignment w:val="auto"/>
        <w:rPr>
          <w:color w:val="auto"/>
          <w:kern w:val="0"/>
          <w:sz w:val="28"/>
          <w:szCs w:val="28"/>
          <w:highlight w:val="none"/>
        </w:rPr>
      </w:pPr>
      <w:r>
        <w:rPr>
          <w:color w:val="auto"/>
          <w:kern w:val="0"/>
          <w:sz w:val="28"/>
          <w:szCs w:val="28"/>
          <w:highlight w:val="none"/>
        </w:rPr>
        <w:t>5G关键器件主要包含滤波器、天线、功率放大器等，滤波器主要用来作频率选择，天线主要用于高频电场和电磁波的转化，放大器用于增加电信号幅度或功率。5G对于射频器件的要求极高，传统射频器件材料无法满足需求。化合物半导体材料由于具备优良的高频、高功率和高线性特性，成为5G时代射频器件的最佳选择。</w:t>
      </w:r>
    </w:p>
    <w:p>
      <w:pPr>
        <w:keepNext w:val="0"/>
        <w:keepLines w:val="0"/>
        <w:pageBreakBefore w:val="0"/>
        <w:widowControl/>
        <w:kinsoku/>
        <w:wordWrap/>
        <w:overflowPunct/>
        <w:topLinePunct w:val="0"/>
        <w:autoSpaceDE/>
        <w:autoSpaceDN/>
        <w:bidi w:val="0"/>
        <w:spacing w:line="550" w:lineRule="exact"/>
        <w:ind w:firstLine="562"/>
        <w:textAlignment w:val="auto"/>
        <w:rPr>
          <w:color w:val="auto"/>
          <w:kern w:val="0"/>
          <w:sz w:val="28"/>
          <w:szCs w:val="28"/>
          <w:highlight w:val="none"/>
        </w:rPr>
      </w:pPr>
      <w:r>
        <w:rPr>
          <w:b/>
          <w:bCs/>
          <w:color w:val="auto"/>
          <w:kern w:val="0"/>
          <w:sz w:val="28"/>
          <w:szCs w:val="28"/>
          <w:highlight w:val="none"/>
        </w:rPr>
        <w:t>滤波器方面</w:t>
      </w:r>
      <w:r>
        <w:rPr>
          <w:color w:val="auto"/>
          <w:kern w:val="0"/>
          <w:sz w:val="28"/>
          <w:szCs w:val="28"/>
          <w:highlight w:val="none"/>
        </w:rPr>
        <w:t>。滤波器可分为声表面滤波器（SAW）和体声波滤波器（BAW）。由于5G将使用毫米波等高频段频谱，因此工作频率更高、技术难度更大的BAW将取代SAW成为主流。此外，5G所需支持频段也大大增加，据射频器件企业Skyworks预测，到2020年，全球将新增至50个，2/3/4/5G合计支持的频段将超过91个，这也对滤波器的设计和使用提出更高要求，目前仅有少数厂家能够满足要求。</w:t>
      </w:r>
    </w:p>
    <w:p>
      <w:pPr>
        <w:keepNext w:val="0"/>
        <w:keepLines w:val="0"/>
        <w:pageBreakBefore w:val="0"/>
        <w:widowControl/>
        <w:kinsoku/>
        <w:wordWrap/>
        <w:overflowPunct/>
        <w:topLinePunct w:val="0"/>
        <w:autoSpaceDE/>
        <w:autoSpaceDN/>
        <w:bidi w:val="0"/>
        <w:spacing w:line="550" w:lineRule="exact"/>
        <w:ind w:firstLine="562"/>
        <w:textAlignment w:val="auto"/>
        <w:rPr>
          <w:color w:val="auto"/>
          <w:kern w:val="0"/>
          <w:sz w:val="28"/>
          <w:szCs w:val="28"/>
          <w:highlight w:val="none"/>
        </w:rPr>
      </w:pPr>
      <w:r>
        <w:rPr>
          <w:b/>
          <w:bCs/>
          <w:color w:val="auto"/>
          <w:kern w:val="0"/>
          <w:sz w:val="28"/>
          <w:szCs w:val="28"/>
          <w:highlight w:val="none"/>
        </w:rPr>
        <w:t>天线方面</w:t>
      </w:r>
      <w:r>
        <w:rPr>
          <w:color w:val="auto"/>
          <w:kern w:val="0"/>
          <w:sz w:val="28"/>
          <w:szCs w:val="28"/>
          <w:highlight w:val="none"/>
        </w:rPr>
        <w:t>。5G高频将推动手机天线数量从当前的2天线增加到4-8天线，基站天线增至128或者256根，阵列天线在尺寸、阵列部署、有源器件、芯片等的设计难度加大，加工工艺更加复杂，如天线尺寸将随5G电磁波的波长变短而缩小，且设计精度将提高、频段将增多。高通已与vivo共同设计将28GHz毫米波天线组与6GHz以下技术同时整合于商用终端设备中，加速了5G终端设备的商用进度。</w:t>
      </w:r>
    </w:p>
    <w:p>
      <w:pPr>
        <w:keepNext w:val="0"/>
        <w:keepLines w:val="0"/>
        <w:pageBreakBefore w:val="0"/>
        <w:widowControl/>
        <w:kinsoku/>
        <w:wordWrap/>
        <w:overflowPunct/>
        <w:topLinePunct w:val="0"/>
        <w:autoSpaceDE/>
        <w:autoSpaceDN/>
        <w:bidi w:val="0"/>
        <w:spacing w:line="550" w:lineRule="exact"/>
        <w:ind w:firstLine="562"/>
        <w:textAlignment w:val="auto"/>
        <w:rPr>
          <w:color w:val="auto"/>
          <w:kern w:val="0"/>
          <w:sz w:val="28"/>
          <w:szCs w:val="28"/>
          <w:highlight w:val="none"/>
        </w:rPr>
      </w:pPr>
      <w:r>
        <w:rPr>
          <w:b/>
          <w:bCs/>
          <w:color w:val="auto"/>
          <w:kern w:val="0"/>
          <w:sz w:val="28"/>
          <w:szCs w:val="28"/>
          <w:highlight w:val="none"/>
        </w:rPr>
        <w:t>功率放大器方面</w:t>
      </w:r>
      <w:r>
        <w:rPr>
          <w:color w:val="auto"/>
          <w:kern w:val="0"/>
          <w:sz w:val="28"/>
          <w:szCs w:val="28"/>
          <w:highlight w:val="none"/>
        </w:rPr>
        <w:t>。由于传统的LDMOS制程难以满足未来5G宽频谱区域的需求，该技术的创新主要集中在材料上，全球主要厂商放大器所用材料已从半导体材料逐渐替换成新兴的氮化镓（GaN）、砷化镓（GaAs）等化合物半导体材料，未来化合物半导体材料在高频5G信号毫米波段的应用前景较广。目前，该领域欧美日企业技术领先，Skyworks、Qorvo、博通三家企业的市场份额处于绝对垄断地位。</w:t>
      </w:r>
    </w:p>
    <w:p>
      <w:pPr>
        <w:keepNext w:val="0"/>
        <w:keepLines w:val="0"/>
        <w:pageBreakBefore w:val="0"/>
        <w:widowControl/>
        <w:kinsoku/>
        <w:wordWrap/>
        <w:overflowPunct/>
        <w:topLinePunct w:val="0"/>
        <w:autoSpaceDE/>
        <w:autoSpaceDN/>
        <w:bidi w:val="0"/>
        <w:spacing w:line="550" w:lineRule="exact"/>
        <w:ind w:firstLine="562"/>
        <w:textAlignment w:val="auto"/>
        <w:rPr>
          <w:color w:val="auto"/>
          <w:kern w:val="0"/>
          <w:sz w:val="28"/>
          <w:szCs w:val="28"/>
          <w:highlight w:val="none"/>
        </w:rPr>
      </w:pPr>
      <w:r>
        <w:rPr>
          <w:b/>
          <w:color w:val="auto"/>
          <w:kern w:val="0"/>
          <w:sz w:val="28"/>
          <w:szCs w:val="28"/>
          <w:highlight w:val="none"/>
        </w:rPr>
        <w:t>5G射频器件和快充电源。</w:t>
      </w:r>
      <w:r>
        <w:rPr>
          <w:color w:val="auto"/>
          <w:kern w:val="0"/>
          <w:sz w:val="28"/>
          <w:szCs w:val="28"/>
          <w:highlight w:val="none"/>
        </w:rPr>
        <w:t>南昌市在硅衬底GAN材料方面领跑全国。5G射频器件方面，应用GaN材料的射频器件具有高频、高功率、宽带宽、低功耗、小尺寸的特点，能在5G时代节省宝贵的PCB空间，并达到良好的功耗控制。快充电源方面，应用GaN的电源产品可以做的更为轻薄、高效，有望在未来统一笔电和手机的充电器市场。</w:t>
      </w:r>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4"/>
          <w:szCs w:val="24"/>
          <w:highlight w:val="none"/>
        </w:rPr>
      </w:pPr>
      <w:r>
        <w:rPr>
          <w:b/>
          <w:bCs/>
          <w:color w:val="auto"/>
          <w:sz w:val="28"/>
          <w:szCs w:val="28"/>
          <w:highlight w:val="none"/>
          <w:lang w:val="en-GB"/>
        </w:rPr>
        <w:t>（</w:t>
      </w:r>
      <w:r>
        <w:rPr>
          <w:b/>
          <w:bCs/>
          <w:color w:val="auto"/>
          <w:sz w:val="28"/>
          <w:szCs w:val="28"/>
          <w:highlight w:val="none"/>
        </w:rPr>
        <w:t>3</w:t>
      </w:r>
      <w:r>
        <w:rPr>
          <w:b/>
          <w:bCs/>
          <w:color w:val="auto"/>
          <w:sz w:val="28"/>
          <w:szCs w:val="28"/>
          <w:highlight w:val="none"/>
          <w:lang w:val="en-GB"/>
        </w:rPr>
        <w:t>）发展趋势</w:t>
      </w:r>
    </w:p>
    <w:p>
      <w:pPr>
        <w:keepNext w:val="0"/>
        <w:keepLines w:val="0"/>
        <w:pageBreakBefore w:val="0"/>
        <w:widowControl/>
        <w:kinsoku/>
        <w:wordWrap/>
        <w:overflowPunct/>
        <w:topLinePunct w:val="0"/>
        <w:autoSpaceDE/>
        <w:autoSpaceDN/>
        <w:bidi w:val="0"/>
        <w:spacing w:line="550" w:lineRule="exact"/>
        <w:ind w:firstLine="560"/>
        <w:textAlignment w:val="auto"/>
        <w:rPr>
          <w:color w:val="auto"/>
          <w:kern w:val="0"/>
          <w:sz w:val="28"/>
          <w:szCs w:val="28"/>
          <w:highlight w:val="none"/>
        </w:rPr>
      </w:pPr>
      <w:r>
        <w:rPr>
          <w:color w:val="auto"/>
          <w:kern w:val="0"/>
          <w:sz w:val="28"/>
          <w:szCs w:val="28"/>
          <w:highlight w:val="none"/>
        </w:rPr>
        <w:t>5G新频段造成单部设备射频器件数量随之增加，同时，MIMO、载波聚合等新技术对于射频器件性能（矩形度、带外抑制、体积、温度稳定性等）的要求不断提高。</w:t>
      </w:r>
    </w:p>
    <w:p>
      <w:pPr>
        <w:keepNext w:val="0"/>
        <w:keepLines w:val="0"/>
        <w:pageBreakBefore w:val="0"/>
        <w:widowControl/>
        <w:kinsoku/>
        <w:wordWrap/>
        <w:overflowPunct/>
        <w:topLinePunct w:val="0"/>
        <w:autoSpaceDE/>
        <w:autoSpaceDN/>
        <w:bidi w:val="0"/>
        <w:spacing w:line="550" w:lineRule="exact"/>
        <w:ind w:firstLine="562"/>
        <w:textAlignment w:val="auto"/>
        <w:rPr>
          <w:color w:val="auto"/>
          <w:kern w:val="0"/>
          <w:sz w:val="28"/>
          <w:szCs w:val="28"/>
          <w:highlight w:val="none"/>
        </w:rPr>
      </w:pPr>
      <w:r>
        <w:rPr>
          <w:b/>
          <w:bCs/>
          <w:color w:val="auto"/>
          <w:kern w:val="0"/>
          <w:sz w:val="28"/>
          <w:szCs w:val="28"/>
          <w:highlight w:val="none"/>
        </w:rPr>
        <w:t>滤波器方面</w:t>
      </w:r>
      <w:r>
        <w:rPr>
          <w:color w:val="auto"/>
          <w:kern w:val="0"/>
          <w:sz w:val="28"/>
          <w:szCs w:val="28"/>
          <w:highlight w:val="none"/>
        </w:rPr>
        <w:t>。MIMO要求同一频段将采用大规模的天线阵，而按照目前的MIMO架构，每根天线后都为加上滤波器，这意味着未来手机中同一频段的滤波器也可能存在多颗，这可能会使得滤波器的需求成几何数的增长。因此，在未来的3-5年，市场对终端滤波器需求仍然会处于一个高速增长的态势，权威机构预测，整个滤波器的增长大概在30%以上，单机使用的射频滤波器数量将达到50个以上，未来可能甚至还会超过100个。到2020年全球滤波器市场的规模将达到500亿只/年，产值由增加到130亿美金。从市场竞争格局看，在SAW的领域，日企Murata、TDK和Taiyo Yuden占据85%以上。BAW市场基本被Broadcom（Avago）、Qorvo垄断，Avago的市场份额85%以上。而我国从事SAW滤波器行业的主要厂家主要是研究院所和一些民营公司，包括中电26所、德清华莹、无锡好达、北京长峰（航天二院）、中讯四方、中科飞鸿等，其中北京长峰，中讯四方，中科飞鸿等主要偏重军工市场，FBAR滤波器行业目前仅有中电26所、天津诺斯具有完整的工艺线。</w:t>
      </w:r>
    </w:p>
    <w:p>
      <w:pPr>
        <w:keepNext w:val="0"/>
        <w:keepLines w:val="0"/>
        <w:pageBreakBefore w:val="0"/>
        <w:widowControl/>
        <w:kinsoku/>
        <w:wordWrap/>
        <w:overflowPunct/>
        <w:topLinePunct w:val="0"/>
        <w:autoSpaceDE/>
        <w:autoSpaceDN/>
        <w:bidi w:val="0"/>
        <w:spacing w:line="550" w:lineRule="exact"/>
        <w:ind w:firstLine="562"/>
        <w:textAlignment w:val="auto"/>
        <w:rPr>
          <w:color w:val="auto"/>
          <w:kern w:val="0"/>
          <w:sz w:val="28"/>
          <w:szCs w:val="28"/>
          <w:highlight w:val="none"/>
        </w:rPr>
      </w:pPr>
      <w:r>
        <w:rPr>
          <w:b/>
          <w:bCs/>
          <w:color w:val="auto"/>
          <w:kern w:val="0"/>
          <w:sz w:val="28"/>
          <w:szCs w:val="28"/>
          <w:highlight w:val="none"/>
        </w:rPr>
        <w:t>天线方面</w:t>
      </w:r>
      <w:r>
        <w:rPr>
          <w:color w:val="auto"/>
          <w:kern w:val="0"/>
          <w:sz w:val="28"/>
          <w:szCs w:val="28"/>
          <w:highlight w:val="none"/>
        </w:rPr>
        <w:t>。主要由华为、中兴等主设备厂商提供一体化代工产品的趋势明显，主设备商话语权有望提升，技术门槛提升导致行业集中度提升。根据当前基站天线出货量统计，第一梯队包括京信通信、康普、华为，第二梯队包括 ACE、凯瑟琳、摩比、通宇，第三梯队包括安费诺、Radio Frequency Systems、罗森伯格高频技术有限公司。</w:t>
      </w:r>
    </w:p>
    <w:p>
      <w:pPr>
        <w:keepNext w:val="0"/>
        <w:keepLines w:val="0"/>
        <w:pageBreakBefore w:val="0"/>
        <w:widowControl/>
        <w:kinsoku/>
        <w:wordWrap/>
        <w:overflowPunct/>
        <w:topLinePunct w:val="0"/>
        <w:autoSpaceDE/>
        <w:autoSpaceDN/>
        <w:bidi w:val="0"/>
        <w:spacing w:line="550" w:lineRule="exact"/>
        <w:ind w:firstLine="562"/>
        <w:textAlignment w:val="auto"/>
        <w:rPr>
          <w:color w:val="auto"/>
          <w:sz w:val="28"/>
          <w:szCs w:val="28"/>
          <w:highlight w:val="none"/>
        </w:rPr>
      </w:pPr>
      <w:r>
        <w:rPr>
          <w:b/>
          <w:bCs/>
          <w:color w:val="auto"/>
          <w:kern w:val="0"/>
          <w:sz w:val="28"/>
          <w:szCs w:val="28"/>
          <w:highlight w:val="none"/>
        </w:rPr>
        <w:t>功率放大器方面</w:t>
      </w:r>
      <w:r>
        <w:rPr>
          <w:color w:val="auto"/>
          <w:kern w:val="0"/>
          <w:sz w:val="28"/>
          <w:szCs w:val="28"/>
          <w:highlight w:val="none"/>
        </w:rPr>
        <w:t>。功率放大器市场主要分为终端市场和以基站为代表的通信基础设施市场，相比目前终端市场约130亿美元的总容量，基站功率放大器市场规模相对较小，在6亿美元至7亿美元左右。在终端功率放大器市场，形成了Skyworks、Qorvo和Broadcom（Avago）三家企业寡头竞争的局面，三家企业合计占据了90%以上的市场份额，而在基站功率放大器市场，NXP Freescale在合并前总共占据了51.1%的市场份额，国内主要有锐迪科（被紫光收购）、唯捷创芯（Vanchip）、中普微、国民飞骧（Lansus）、中科汉天下等企业，规模和技术能力已基本与国外巨头实现同步。</w:t>
      </w:r>
    </w:p>
    <w:p>
      <w:pPr>
        <w:keepNext w:val="0"/>
        <w:keepLines w:val="0"/>
        <w:pageBreakBefore w:val="0"/>
        <w:widowControl/>
        <w:kinsoku/>
        <w:wordWrap/>
        <w:overflowPunct/>
        <w:topLinePunct w:val="0"/>
        <w:autoSpaceDE/>
        <w:autoSpaceDN/>
        <w:bidi w:val="0"/>
        <w:spacing w:line="550" w:lineRule="exact"/>
        <w:ind w:firstLine="562"/>
        <w:textAlignment w:val="auto"/>
        <w:outlineLvl w:val="0"/>
        <w:rPr>
          <w:rFonts w:eastAsia="黑体"/>
          <w:b/>
          <w:color w:val="auto"/>
          <w:sz w:val="28"/>
          <w:szCs w:val="28"/>
          <w:highlight w:val="none"/>
        </w:rPr>
      </w:pPr>
      <w:bookmarkStart w:id="194" w:name="_Toc63181215"/>
      <w:bookmarkStart w:id="195" w:name="_Toc17755"/>
      <w:bookmarkStart w:id="196" w:name="_Toc88257172"/>
      <w:bookmarkStart w:id="197" w:name="_Toc297576800"/>
      <w:bookmarkStart w:id="198" w:name="_Toc10450"/>
    </w:p>
    <w:p>
      <w:pPr>
        <w:keepNext w:val="0"/>
        <w:keepLines w:val="0"/>
        <w:pageBreakBefore w:val="0"/>
        <w:widowControl/>
        <w:kinsoku/>
        <w:wordWrap/>
        <w:overflowPunct/>
        <w:topLinePunct w:val="0"/>
        <w:autoSpaceDE/>
        <w:autoSpaceDN/>
        <w:bidi w:val="0"/>
        <w:spacing w:line="550" w:lineRule="exact"/>
        <w:ind w:firstLine="562"/>
        <w:textAlignment w:val="auto"/>
        <w:outlineLvl w:val="0"/>
        <w:rPr>
          <w:rFonts w:eastAsia="黑体"/>
          <w:b/>
          <w:color w:val="auto"/>
          <w:sz w:val="28"/>
          <w:szCs w:val="28"/>
          <w:highlight w:val="none"/>
        </w:rPr>
      </w:pPr>
      <w:r>
        <w:rPr>
          <w:rFonts w:eastAsia="黑体"/>
          <w:b/>
          <w:color w:val="auto"/>
          <w:sz w:val="28"/>
          <w:szCs w:val="28"/>
          <w:highlight w:val="none"/>
        </w:rPr>
        <w:t>附件2：移动智能终端产业选择依据和发展现状</w:t>
      </w:r>
      <w:bookmarkEnd w:id="194"/>
      <w:bookmarkEnd w:id="195"/>
      <w:bookmarkEnd w:id="196"/>
      <w:bookmarkEnd w:id="197"/>
      <w:bookmarkEnd w:id="198"/>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rPr>
      </w:pPr>
      <w:r>
        <w:rPr>
          <w:b/>
          <w:bCs/>
          <w:color w:val="auto"/>
          <w:sz w:val="28"/>
          <w:szCs w:val="28"/>
          <w:highlight w:val="none"/>
          <w:lang w:val="en-GB"/>
        </w:rPr>
        <w:t>（1）</w:t>
      </w:r>
      <w:r>
        <w:rPr>
          <w:b/>
          <w:bCs/>
          <w:color w:val="auto"/>
          <w:sz w:val="28"/>
          <w:szCs w:val="28"/>
          <w:highlight w:val="none"/>
        </w:rPr>
        <w:t>选择依据</w:t>
      </w:r>
    </w:p>
    <w:p>
      <w:pPr>
        <w:keepNext w:val="0"/>
        <w:keepLines w:val="0"/>
        <w:pageBreakBefore w:val="0"/>
        <w:widowControl/>
        <w:kinsoku/>
        <w:wordWrap/>
        <w:overflowPunct/>
        <w:topLinePunct w:val="0"/>
        <w:autoSpaceDE/>
        <w:autoSpaceDN/>
        <w:bidi w:val="0"/>
        <w:adjustRightInd w:val="0"/>
        <w:snapToGrid w:val="0"/>
        <w:spacing w:line="550" w:lineRule="exact"/>
        <w:ind w:firstLine="560"/>
        <w:textAlignment w:val="auto"/>
        <w:rPr>
          <w:color w:val="auto"/>
          <w:sz w:val="28"/>
          <w:szCs w:val="28"/>
          <w:highlight w:val="none"/>
          <w:lang w:val="en-GB"/>
        </w:rPr>
      </w:pPr>
      <w:r>
        <w:rPr>
          <w:color w:val="auto"/>
          <w:sz w:val="28"/>
          <w:szCs w:val="28"/>
          <w:highlight w:val="none"/>
          <w:lang w:val="en-GB"/>
        </w:rPr>
        <w:t>南昌市以高新区、经开区为主要载体，着力推进国家新型工业化（移动智能终端）示范基地和经开区省级数字经济创新发展（智能终端）试验基地建设，集聚了大批整机企业和关键元器件、软件等配套企业，在大芯片、屏幕领域加强项目招引力度，不断构建完善移动智能终端产业生态系统，有望成为全国重要的移动智能终端产业基地。</w:t>
      </w:r>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2</w:t>
      </w:r>
      <w:r>
        <w:rPr>
          <w:b/>
          <w:bCs/>
          <w:color w:val="auto"/>
          <w:sz w:val="28"/>
          <w:szCs w:val="28"/>
          <w:highlight w:val="none"/>
          <w:lang w:val="en-GB"/>
        </w:rPr>
        <w:t>）发展现状</w:t>
      </w:r>
    </w:p>
    <w:p>
      <w:pPr>
        <w:keepNext w:val="0"/>
        <w:keepLines w:val="0"/>
        <w:pageBreakBefore w:val="0"/>
        <w:widowControl/>
        <w:kinsoku/>
        <w:wordWrap/>
        <w:overflowPunct/>
        <w:topLinePunct w:val="0"/>
        <w:autoSpaceDE/>
        <w:autoSpaceDN/>
        <w:bidi w:val="0"/>
        <w:spacing w:line="550" w:lineRule="exact"/>
        <w:ind w:firstLine="562"/>
        <w:textAlignment w:val="auto"/>
        <w:rPr>
          <w:color w:val="auto"/>
          <w:sz w:val="28"/>
          <w:szCs w:val="28"/>
          <w:highlight w:val="none"/>
          <w:lang w:val="en-GB"/>
        </w:rPr>
      </w:pPr>
      <w:r>
        <w:rPr>
          <w:b/>
          <w:color w:val="auto"/>
          <w:sz w:val="28"/>
          <w:szCs w:val="28"/>
          <w:highlight w:val="none"/>
          <w:lang w:val="en-GB"/>
        </w:rPr>
        <w:t>移动智能终端的技术更迭和产品创新正在加速。</w:t>
      </w:r>
      <w:r>
        <w:rPr>
          <w:color w:val="auto"/>
          <w:sz w:val="28"/>
          <w:szCs w:val="28"/>
          <w:highlight w:val="none"/>
          <w:lang w:val="en-GB"/>
        </w:rPr>
        <w:t>从技术层面看，人工智能、大数据、云计算、物联网等新兴技术逐步导入智能终端，成为智能化、网联化、便捷化发展的核心驱动力，以高端产品应用为先导，逐步结合用户需求向中低端产品下沉。从产品层面看，终端形态进入场景化应用爆发期。5G技术和网络设施的不断完善正推动手机进入新一阶段的换机期。预计2020-2022年，5G手机渗透率将达到16.56%、33.87%和53.76%。智能手表、智能车载系统等新型终端形态层出不穷，市场规模迅速扩张，未来将打破手机为主的格局，形成多种终端并行接入的跨行业、跨网络的终端产品矩阵。</w:t>
      </w:r>
    </w:p>
    <w:p>
      <w:pPr>
        <w:keepNext w:val="0"/>
        <w:keepLines w:val="0"/>
        <w:pageBreakBefore w:val="0"/>
        <w:widowControl/>
        <w:kinsoku/>
        <w:wordWrap/>
        <w:overflowPunct/>
        <w:topLinePunct w:val="0"/>
        <w:autoSpaceDE/>
        <w:autoSpaceDN/>
        <w:bidi w:val="0"/>
        <w:spacing w:line="550" w:lineRule="exact"/>
        <w:ind w:firstLine="562"/>
        <w:textAlignment w:val="auto"/>
        <w:rPr>
          <w:color w:val="auto"/>
          <w:sz w:val="28"/>
          <w:szCs w:val="28"/>
          <w:highlight w:val="none"/>
          <w:lang w:val="en-GB"/>
        </w:rPr>
      </w:pPr>
      <w:r>
        <w:rPr>
          <w:b/>
          <w:color w:val="auto"/>
          <w:sz w:val="28"/>
          <w:szCs w:val="28"/>
          <w:highlight w:val="none"/>
          <w:lang w:val="en-GB"/>
        </w:rPr>
        <w:t>5G手机成为销量增长的新引擎。</w:t>
      </w:r>
      <w:r>
        <w:rPr>
          <w:color w:val="auto"/>
          <w:sz w:val="28"/>
          <w:szCs w:val="28"/>
          <w:highlight w:val="none"/>
          <w:lang w:val="en-GB"/>
        </w:rPr>
        <w:t>2019年全球智能手机出货量13.67亿台，同比下降2%。从各大手机品牌厂商的出货情况来看，三星、华为、苹果、小米和Oppo出货量分别为2.98亿台、2.41亿台、1.98亿台、1.26亿台、1.20亿台，同比分别增长2%、17%、-7%、4%、4%，市场份额分别为21.8%、17.6%、14.5%、9.2%、8.8%。从全球5G手机的情况来看，2019年全球5G智能手机出货量高达1900万台，高于预期。华为和三星是出货量最大的两个厂商，出货量分别为690万部和670万部，市场份额分别为37%和36%。Vivo、小米和LG分列3-5名，出货量分别为200万台、120万台、90万台、市场份额分别为11%、6%、5%。</w:t>
      </w:r>
    </w:p>
    <w:p>
      <w:pPr>
        <w:keepNext w:val="0"/>
        <w:keepLines w:val="0"/>
        <w:pageBreakBefore w:val="0"/>
        <w:widowControl/>
        <w:kinsoku/>
        <w:wordWrap/>
        <w:overflowPunct/>
        <w:topLinePunct w:val="0"/>
        <w:autoSpaceDE/>
        <w:autoSpaceDN/>
        <w:bidi w:val="0"/>
        <w:spacing w:line="550" w:lineRule="exact"/>
        <w:ind w:firstLine="562"/>
        <w:textAlignment w:val="auto"/>
        <w:rPr>
          <w:color w:val="auto"/>
          <w:sz w:val="28"/>
          <w:szCs w:val="28"/>
          <w:highlight w:val="none"/>
          <w:lang w:val="en-GB"/>
        </w:rPr>
      </w:pPr>
      <w:r>
        <w:rPr>
          <w:b/>
          <w:color w:val="auto"/>
          <w:sz w:val="28"/>
          <w:szCs w:val="28"/>
          <w:highlight w:val="none"/>
          <w:lang w:val="en-GB"/>
        </w:rPr>
        <w:t>摄像头成为终端硬件升级新赛道。</w:t>
      </w:r>
      <w:r>
        <w:rPr>
          <w:color w:val="auto"/>
          <w:sz w:val="28"/>
          <w:szCs w:val="28"/>
          <w:highlight w:val="none"/>
          <w:lang w:val="en-GB"/>
        </w:rPr>
        <w:t>2019年以来，智能手机等终端产品在摄像头数量和成像质量上都有较大增长，多摄渗透率显著提高，以摄像头为代表的光电器件逐渐成为终端硬件升级的新赛道。以华为为例，其Mate30系列手机后置摄像头已达到4个，而其最新推出的P40系列后置已经达到5摄。华为Mate30系列手机BOM成本中摄像头占比已超越屏幕成为仅次于芯片的手机第二大成本来源。</w:t>
      </w:r>
    </w:p>
    <w:p>
      <w:pPr>
        <w:keepNext w:val="0"/>
        <w:keepLines w:val="0"/>
        <w:pageBreakBefore w:val="0"/>
        <w:widowControl/>
        <w:kinsoku/>
        <w:wordWrap/>
        <w:overflowPunct/>
        <w:topLinePunct w:val="0"/>
        <w:autoSpaceDE/>
        <w:autoSpaceDN/>
        <w:bidi w:val="0"/>
        <w:spacing w:line="550" w:lineRule="exact"/>
        <w:ind w:firstLine="562"/>
        <w:textAlignment w:val="auto"/>
        <w:rPr>
          <w:color w:val="auto"/>
          <w:sz w:val="28"/>
          <w:szCs w:val="28"/>
          <w:highlight w:val="none"/>
          <w:lang w:val="en-GB"/>
        </w:rPr>
      </w:pPr>
      <w:r>
        <w:rPr>
          <w:b/>
          <w:color w:val="auto"/>
          <w:sz w:val="28"/>
          <w:szCs w:val="28"/>
          <w:highlight w:val="none"/>
          <w:lang w:val="en-GB"/>
        </w:rPr>
        <w:t>柔性显示屏成为终端设备突出亮点。</w:t>
      </w:r>
      <w:r>
        <w:rPr>
          <w:color w:val="auto"/>
          <w:sz w:val="28"/>
          <w:szCs w:val="28"/>
          <w:highlight w:val="none"/>
          <w:lang w:val="en-GB"/>
        </w:rPr>
        <w:t>柔宇科技2014年发布业内首块全彩AMOLED柔性显示屏，该屏厚度仅约0.01毫米，在弯折5~10万次后仍可实现高质量的显示效果。2018年6月，总投资约110亿元的柔宇科技全球首条类六代全柔性显示屏大规模量产线成功点亮投产。作为国产屏幕的代表厂商，京东方同样积极布局柔性屏生产。其总投资1395亿的成都、绵阳、重庆3条6代AMOLED生产线已经量产或建设过程中，预计三条生产线产能在完全投产后将达到144000片/月。在2019年CES展上，三星展示了其首款折叠屏手机Galaxy Fold，搭载了三星7.3英寸Super AMOLED屏幕。华为于2019年2月发布折叠屏手机Mate X，搭载京东方8英寸柔性AMOLED屏，与三星折叠屏手机采用的内折方案不同，华为研发了鹰翼铰链外折方案。</w:t>
      </w:r>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3</w:t>
      </w:r>
      <w:r>
        <w:rPr>
          <w:b/>
          <w:bCs/>
          <w:color w:val="auto"/>
          <w:sz w:val="28"/>
          <w:szCs w:val="28"/>
          <w:highlight w:val="none"/>
          <w:lang w:val="en-GB"/>
        </w:rPr>
        <w:t>）发展趋势</w:t>
      </w:r>
    </w:p>
    <w:p>
      <w:pPr>
        <w:keepNext w:val="0"/>
        <w:keepLines w:val="0"/>
        <w:pageBreakBefore w:val="0"/>
        <w:widowControl/>
        <w:kinsoku/>
        <w:wordWrap/>
        <w:overflowPunct/>
        <w:topLinePunct w:val="0"/>
        <w:autoSpaceDE/>
        <w:autoSpaceDN/>
        <w:bidi w:val="0"/>
        <w:spacing w:line="550" w:lineRule="exact"/>
        <w:ind w:firstLine="562"/>
        <w:textAlignment w:val="auto"/>
        <w:rPr>
          <w:color w:val="auto"/>
          <w:sz w:val="28"/>
          <w:szCs w:val="28"/>
          <w:highlight w:val="none"/>
          <w:lang w:val="en-GB"/>
        </w:rPr>
      </w:pPr>
      <w:r>
        <w:rPr>
          <w:b/>
          <w:color w:val="auto"/>
          <w:sz w:val="28"/>
          <w:szCs w:val="28"/>
          <w:highlight w:val="none"/>
          <w:lang w:val="en-GB"/>
        </w:rPr>
        <w:t>芯片与关键元器件。</w:t>
      </w:r>
      <w:r>
        <w:rPr>
          <w:color w:val="auto"/>
          <w:sz w:val="28"/>
          <w:szCs w:val="28"/>
          <w:highlight w:val="none"/>
          <w:lang w:val="en-GB"/>
        </w:rPr>
        <w:t>5G基带芯片方面，以4G手机外挂5G基带芯片的趋势向高集成度的5G SoC芯片发展。射频芯片方面，5G SoC和5G射频芯片的整合将是未来5G核心芯片发展的大势，由单一性向低功耗、多元化以及集成化发展，系统级芯片将成为终端芯片发展的主流。处理器方面，处理器芯片架构设计向“一核多辅”方向演进，多核架构协同提升处理器多线程工作效率、提升运算资源配置效率，灵活适配重载、中载、轻载多个场景，降低运行功耗。</w:t>
      </w:r>
    </w:p>
    <w:p>
      <w:pPr>
        <w:keepNext w:val="0"/>
        <w:keepLines w:val="0"/>
        <w:pageBreakBefore w:val="0"/>
        <w:widowControl/>
        <w:kinsoku/>
        <w:wordWrap/>
        <w:overflowPunct/>
        <w:topLinePunct w:val="0"/>
        <w:autoSpaceDE/>
        <w:autoSpaceDN/>
        <w:bidi w:val="0"/>
        <w:spacing w:line="550" w:lineRule="exact"/>
        <w:ind w:firstLine="562"/>
        <w:textAlignment w:val="auto"/>
        <w:rPr>
          <w:color w:val="auto"/>
          <w:sz w:val="28"/>
          <w:szCs w:val="28"/>
          <w:highlight w:val="none"/>
        </w:rPr>
      </w:pPr>
      <w:r>
        <w:rPr>
          <w:b/>
          <w:color w:val="auto"/>
          <w:sz w:val="28"/>
          <w:szCs w:val="28"/>
          <w:highlight w:val="none"/>
        </w:rPr>
        <w:t>操作系统。</w:t>
      </w:r>
      <w:r>
        <w:rPr>
          <w:color w:val="auto"/>
          <w:sz w:val="28"/>
          <w:szCs w:val="28"/>
          <w:highlight w:val="none"/>
        </w:rPr>
        <w:t>国外操作系统方面，谷歌和苹果于2019年下半年分别推出安卓10系统和iOS 13系统，加强了个人隐私和安全保障功能，并针对多应用场景提出性能优化方案等改善。安卓系统与iOS系统均属于宏内核系统，通过不断的迭代升级系统平台，搭建有利于开发者和平台方的生态，实现用户数量的不断增长。国产操作系统方面，鸿蒙操作系统以及Syber操作系统等微内核系统相继推出，5G技术应用场景多样化爆发是国产操作系统打破国外操作系统长期壁垒的重要契机。</w:t>
      </w:r>
    </w:p>
    <w:p>
      <w:pPr>
        <w:keepNext w:val="0"/>
        <w:keepLines w:val="0"/>
        <w:pageBreakBefore w:val="0"/>
        <w:widowControl/>
        <w:kinsoku/>
        <w:wordWrap/>
        <w:overflowPunct/>
        <w:topLinePunct w:val="0"/>
        <w:autoSpaceDE/>
        <w:autoSpaceDN/>
        <w:bidi w:val="0"/>
        <w:spacing w:line="550" w:lineRule="exact"/>
        <w:ind w:firstLine="562"/>
        <w:textAlignment w:val="auto"/>
        <w:rPr>
          <w:color w:val="auto"/>
          <w:sz w:val="28"/>
          <w:szCs w:val="28"/>
          <w:highlight w:val="none"/>
        </w:rPr>
      </w:pPr>
      <w:r>
        <w:rPr>
          <w:b/>
          <w:color w:val="auto"/>
          <w:sz w:val="28"/>
          <w:szCs w:val="28"/>
          <w:highlight w:val="none"/>
        </w:rPr>
        <w:t>关键配套器件。</w:t>
      </w:r>
      <w:r>
        <w:rPr>
          <w:color w:val="auto"/>
          <w:sz w:val="28"/>
          <w:szCs w:val="28"/>
          <w:highlight w:val="none"/>
        </w:rPr>
        <w:t>手机摄像头多摄配置渐成趋势。2011年HTC G17最早搭载5M+5M双摄，2018年华为P20 Pro开启后置40M+20M+8M三摄时代，2019年三摄已成为市场主流，四摄、五摄手机相继登场。大容量、高充电速率逐渐成为锂离子电池主流，目前国产5G手机有线充电速率典型值都在40W以上，无线充电速率稳定提升，华为Mate 30系列手机无线快充速率已达到了27W。</w:t>
      </w:r>
    </w:p>
    <w:p>
      <w:pPr>
        <w:keepNext w:val="0"/>
        <w:keepLines w:val="0"/>
        <w:pageBreakBefore w:val="0"/>
        <w:widowControl/>
        <w:kinsoku/>
        <w:wordWrap/>
        <w:overflowPunct/>
        <w:topLinePunct w:val="0"/>
        <w:autoSpaceDE/>
        <w:autoSpaceDN/>
        <w:bidi w:val="0"/>
        <w:spacing w:line="550" w:lineRule="exact"/>
        <w:ind w:firstLine="562"/>
        <w:textAlignment w:val="auto"/>
        <w:rPr>
          <w:color w:val="auto"/>
          <w:sz w:val="28"/>
          <w:szCs w:val="28"/>
          <w:highlight w:val="none"/>
        </w:rPr>
      </w:pPr>
      <w:r>
        <w:rPr>
          <w:b/>
          <w:color w:val="auto"/>
          <w:sz w:val="28"/>
          <w:szCs w:val="28"/>
          <w:highlight w:val="none"/>
        </w:rPr>
        <w:t>整机设计与制造。</w:t>
      </w:r>
      <w:r>
        <w:rPr>
          <w:color w:val="auto"/>
          <w:sz w:val="28"/>
          <w:szCs w:val="28"/>
          <w:highlight w:val="none"/>
        </w:rPr>
        <w:t>手机设计制造模式由传统全自主设计、ODM、IDH三种模式逐步向全自主设计、ODM两种模式转变。随着终端品牌厂商的快速崛起以及手机供应链利润和市场空间的逐渐收窄，IDH厂商逐渐转向ODM模式。目前我国ODM厂商主要包括龙旗、闻泰、华勤等。在手机设计制造模式选择上，手机品牌商一般选择集中企业优势资源自主研发中高端旗舰机型，而将主打成本、稳定性等性能的终端机型与ODM合作开发。智能终端设计正加速进入跨平台、跨领域的协同融合期。目前用户拥有智能终端的类型与数量正快速增长，呈现从单设备向多设备发展的趋势，终端设备也随之从现阶段的单品种独立设计向多品种协同共享发展。</w:t>
      </w:r>
    </w:p>
    <w:p>
      <w:pPr>
        <w:keepNext w:val="0"/>
        <w:keepLines w:val="0"/>
        <w:pageBreakBefore w:val="0"/>
        <w:widowControl/>
        <w:kinsoku/>
        <w:wordWrap/>
        <w:overflowPunct/>
        <w:topLinePunct w:val="0"/>
        <w:autoSpaceDE/>
        <w:autoSpaceDN/>
        <w:bidi w:val="0"/>
        <w:spacing w:line="550" w:lineRule="exact"/>
        <w:ind w:firstLine="562"/>
        <w:textAlignment w:val="auto"/>
        <w:outlineLvl w:val="0"/>
        <w:rPr>
          <w:rFonts w:eastAsia="黑体"/>
          <w:b/>
          <w:color w:val="auto"/>
          <w:sz w:val="28"/>
          <w:szCs w:val="28"/>
          <w:highlight w:val="none"/>
        </w:rPr>
      </w:pPr>
      <w:bookmarkStart w:id="199" w:name="_Toc88257173"/>
      <w:bookmarkStart w:id="200" w:name="_Toc2061403347"/>
      <w:r>
        <w:rPr>
          <w:rFonts w:eastAsia="黑体"/>
          <w:b/>
          <w:color w:val="auto"/>
          <w:sz w:val="28"/>
          <w:szCs w:val="28"/>
          <w:highlight w:val="none"/>
        </w:rPr>
        <w:t>附件3：VR/AR产业选择依据和发展现状</w:t>
      </w:r>
      <w:bookmarkEnd w:id="199"/>
      <w:bookmarkEnd w:id="200"/>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rPr>
      </w:pPr>
      <w:r>
        <w:rPr>
          <w:b/>
          <w:bCs/>
          <w:color w:val="auto"/>
          <w:sz w:val="28"/>
          <w:szCs w:val="28"/>
          <w:highlight w:val="none"/>
          <w:lang w:val="en-GB"/>
        </w:rPr>
        <w:t>（1）</w:t>
      </w:r>
      <w:r>
        <w:rPr>
          <w:b/>
          <w:bCs/>
          <w:color w:val="auto"/>
          <w:sz w:val="28"/>
          <w:szCs w:val="28"/>
          <w:highlight w:val="none"/>
        </w:rPr>
        <w:t>选择依据</w:t>
      </w:r>
    </w:p>
    <w:p>
      <w:pPr>
        <w:keepNext w:val="0"/>
        <w:keepLines w:val="0"/>
        <w:pageBreakBefore w:val="0"/>
        <w:widowControl/>
        <w:kinsoku/>
        <w:wordWrap/>
        <w:overflowPunct/>
        <w:topLinePunct w:val="0"/>
        <w:autoSpaceDE/>
        <w:autoSpaceDN/>
        <w:bidi w:val="0"/>
        <w:adjustRightInd w:val="0"/>
        <w:snapToGrid w:val="0"/>
        <w:spacing w:line="550" w:lineRule="exact"/>
        <w:ind w:firstLine="560"/>
        <w:textAlignment w:val="auto"/>
        <w:rPr>
          <w:color w:val="auto"/>
          <w:sz w:val="28"/>
          <w:szCs w:val="28"/>
          <w:highlight w:val="none"/>
          <w:lang w:val="en-GB"/>
        </w:rPr>
      </w:pPr>
      <w:r>
        <w:rPr>
          <w:color w:val="auto"/>
          <w:sz w:val="28"/>
          <w:szCs w:val="28"/>
          <w:highlight w:val="none"/>
          <w:lang w:val="en-GB"/>
        </w:rPr>
        <w:t>虚拟现实产业是南昌市电子信息产业发展的四大重心之一，充分发挥虚拟现实产业链长、行业带动强的作用，助推南昌市电子信息产业发展。</w:t>
      </w:r>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2</w:t>
      </w:r>
      <w:r>
        <w:rPr>
          <w:b/>
          <w:bCs/>
          <w:color w:val="auto"/>
          <w:sz w:val="28"/>
          <w:szCs w:val="28"/>
          <w:highlight w:val="none"/>
          <w:lang w:val="en-GB"/>
        </w:rPr>
        <w:t>）发展现状</w:t>
      </w:r>
    </w:p>
    <w:p>
      <w:pPr>
        <w:keepNext w:val="0"/>
        <w:keepLines w:val="0"/>
        <w:pageBreakBefore w:val="0"/>
        <w:widowControl/>
        <w:kinsoku/>
        <w:wordWrap/>
        <w:overflowPunct/>
        <w:topLinePunct w:val="0"/>
        <w:autoSpaceDE/>
        <w:autoSpaceDN/>
        <w:bidi w:val="0"/>
        <w:adjustRightInd w:val="0"/>
        <w:snapToGrid w:val="0"/>
        <w:spacing w:line="550" w:lineRule="exact"/>
        <w:ind w:firstLine="560"/>
        <w:textAlignment w:val="auto"/>
        <w:rPr>
          <w:color w:val="auto"/>
          <w:sz w:val="28"/>
          <w:szCs w:val="28"/>
          <w:highlight w:val="none"/>
          <w:lang w:val="en-GB"/>
        </w:rPr>
      </w:pPr>
      <w:r>
        <w:rPr>
          <w:color w:val="auto"/>
          <w:sz w:val="28"/>
          <w:szCs w:val="28"/>
          <w:highlight w:val="none"/>
          <w:lang w:val="en-GB"/>
        </w:rPr>
        <w:t>虚拟现实是信息技术新兴前沿领域，是多种新一代信息技术融合创新的产物，能够极大地拓展人类感知能力，正持续催生出新产品、新服务、新业态、新模式，有望成为经济发展的新增长点。随着新一代信息技术的快速发展，虚拟现实结合人工智能、超高清视频、云计算大数据等技术的高速发展，大力提升了虚拟现实设备的体验感，用户对虚拟现实的认可度不断提高。随着5G商用不断推进，医疗健康、教育培训、文教娱乐等领域虚拟现实行业需求的不断增长，VR远程医疗、共享教育、春晚直播、红色教育等典型应用案例迭出。</w:t>
      </w:r>
    </w:p>
    <w:p>
      <w:pPr>
        <w:keepNext w:val="0"/>
        <w:keepLines w:val="0"/>
        <w:pageBreakBefore w:val="0"/>
        <w:widowControl/>
        <w:kinsoku/>
        <w:wordWrap/>
        <w:overflowPunct/>
        <w:topLinePunct w:val="0"/>
        <w:autoSpaceDE/>
        <w:autoSpaceDN/>
        <w:bidi w:val="0"/>
        <w:adjustRightInd w:val="0"/>
        <w:snapToGrid w:val="0"/>
        <w:spacing w:line="550" w:lineRule="exact"/>
        <w:ind w:firstLine="560"/>
        <w:textAlignment w:val="auto"/>
        <w:rPr>
          <w:color w:val="auto"/>
          <w:sz w:val="28"/>
          <w:szCs w:val="28"/>
          <w:highlight w:val="none"/>
          <w:lang w:val="en-GB"/>
        </w:rPr>
      </w:pPr>
      <w:r>
        <w:rPr>
          <w:color w:val="auto"/>
          <w:sz w:val="28"/>
          <w:szCs w:val="28"/>
          <w:highlight w:val="none"/>
          <w:lang w:val="en-GB"/>
        </w:rPr>
        <w:t>虚拟现实市场规模由软硬件产品、内容、行业应用服务三部分组成。据Greenlight Insights数据，2018年全球虚拟现实市场规模超过700亿元人民币，同比增长126%。其中，虚拟现实整体市场超过600亿元，增强现实整体市场超过100亿元。随着虚拟现实产业生态的不断完善，硬件、软件、服务融合的盈利商业模式的不断成熟，预计2019年全球市场规模将超千亿元，国内市场规模将超500亿元。</w:t>
      </w:r>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3</w:t>
      </w:r>
      <w:r>
        <w:rPr>
          <w:b/>
          <w:bCs/>
          <w:color w:val="auto"/>
          <w:sz w:val="28"/>
          <w:szCs w:val="28"/>
          <w:highlight w:val="none"/>
          <w:lang w:val="en-GB"/>
        </w:rPr>
        <w:t>）发展趋势</w:t>
      </w:r>
    </w:p>
    <w:p>
      <w:pPr>
        <w:keepNext w:val="0"/>
        <w:keepLines w:val="0"/>
        <w:pageBreakBefore w:val="0"/>
        <w:widowControl/>
        <w:kinsoku/>
        <w:wordWrap/>
        <w:overflowPunct/>
        <w:topLinePunct w:val="0"/>
        <w:autoSpaceDE/>
        <w:autoSpaceDN/>
        <w:bidi w:val="0"/>
        <w:adjustRightInd w:val="0"/>
        <w:snapToGrid w:val="0"/>
        <w:spacing w:line="550" w:lineRule="exact"/>
        <w:ind w:firstLine="562"/>
        <w:textAlignment w:val="auto"/>
        <w:rPr>
          <w:color w:val="auto"/>
          <w:sz w:val="28"/>
          <w:szCs w:val="28"/>
          <w:highlight w:val="none"/>
          <w:lang w:val="en-GB"/>
        </w:rPr>
      </w:pPr>
      <w:r>
        <w:rPr>
          <w:b/>
          <w:bCs/>
          <w:color w:val="auto"/>
          <w:sz w:val="28"/>
          <w:szCs w:val="28"/>
          <w:highlight w:val="none"/>
          <w:lang w:val="en-GB"/>
        </w:rPr>
        <w:t>VR/AR/MR头显无线化趋势愈发明确</w:t>
      </w:r>
      <w:r>
        <w:rPr>
          <w:color w:val="auto"/>
          <w:sz w:val="28"/>
          <w:szCs w:val="28"/>
          <w:highlight w:val="none"/>
          <w:lang w:val="en-GB"/>
        </w:rPr>
        <w:t>。一方面，进入虚拟现实领域的大产商越来越多、领域越来越宽。经过数年发展，我国虚拟现实整机领域一改以大朋、小鸟看看、小派等初创企业为主的格局，联想、创维、vivo、华为、小米等硬件品牌企业分别依托在企业服务、家庭影音、智能终端、移动通信等方面的优势进行虚拟现实头显生产，爱奇艺等内容提供商也推出了对应的头显产品，各类企业从产业链不同环节推动产品和技术的发展。另一方面，头显无线化得到越来越多关注，发展趋势越来越明确，华为推出的云VR通过与运营商合作，可以解决无线化的技术难题，推动VR头显的便捷化、低价化。</w:t>
      </w:r>
    </w:p>
    <w:p>
      <w:pPr>
        <w:keepNext w:val="0"/>
        <w:keepLines w:val="0"/>
        <w:pageBreakBefore w:val="0"/>
        <w:widowControl/>
        <w:kinsoku/>
        <w:wordWrap/>
        <w:overflowPunct/>
        <w:topLinePunct w:val="0"/>
        <w:autoSpaceDE/>
        <w:autoSpaceDN/>
        <w:bidi w:val="0"/>
        <w:spacing w:line="550" w:lineRule="exact"/>
        <w:ind w:firstLine="562"/>
        <w:textAlignment w:val="auto"/>
        <w:rPr>
          <w:color w:val="auto"/>
          <w:sz w:val="28"/>
          <w:szCs w:val="28"/>
          <w:highlight w:val="none"/>
          <w:lang w:val="en-GB"/>
        </w:rPr>
      </w:pPr>
      <w:r>
        <w:rPr>
          <w:b/>
          <w:bCs/>
          <w:color w:val="auto"/>
          <w:sz w:val="28"/>
          <w:szCs w:val="28"/>
          <w:highlight w:val="none"/>
          <w:lang w:val="en-GB"/>
        </w:rPr>
        <w:t>“VR/AR+”应用场景加速落地</w:t>
      </w:r>
      <w:r>
        <w:rPr>
          <w:color w:val="auto"/>
          <w:sz w:val="28"/>
          <w:szCs w:val="28"/>
          <w:highlight w:val="none"/>
          <w:lang w:val="en-GB"/>
        </w:rPr>
        <w:t>。虚拟现实在各行业的应用将进一步深化普及，应用场景也更加丰富。以2020年延庆高山滑雪测试赛、2022年北京冬奥会等重大活动赛事为契机，“VR+”虚拟现实应用将在冰雪培训领域优先爆发，VR直播、VR电竞、VR课堂、VR内容创作等应用进一步普及。随着智能化AR平台和轻薄型AR眼镜的出现，爆款消费级AR应用将出现，增强现实在娱乐、工业、商贸、医疗、教育等行业领域将不断普及。此外，虚拟现实和智慧健康养老、医疗健康、文化教育等领域进一步融合，将创新社会服务方式，有效缓解养老、医疗、教育等社会公共资源不均衡问题，促进社会和谐发展。</w:t>
      </w:r>
    </w:p>
    <w:p>
      <w:pPr>
        <w:keepNext w:val="0"/>
        <w:keepLines w:val="0"/>
        <w:pageBreakBefore w:val="0"/>
        <w:widowControl/>
        <w:kinsoku/>
        <w:wordWrap/>
        <w:overflowPunct/>
        <w:topLinePunct w:val="0"/>
        <w:autoSpaceDE/>
        <w:autoSpaceDN/>
        <w:bidi w:val="0"/>
        <w:spacing w:line="550" w:lineRule="exact"/>
        <w:ind w:firstLine="562"/>
        <w:textAlignment w:val="auto"/>
        <w:outlineLvl w:val="0"/>
        <w:rPr>
          <w:rFonts w:eastAsia="黑体"/>
          <w:b/>
          <w:color w:val="auto"/>
          <w:sz w:val="28"/>
          <w:szCs w:val="28"/>
          <w:highlight w:val="none"/>
        </w:rPr>
      </w:pPr>
      <w:bookmarkStart w:id="201" w:name="_Toc88257174"/>
      <w:bookmarkStart w:id="202" w:name="_Toc465797122"/>
      <w:r>
        <w:rPr>
          <w:rFonts w:eastAsia="黑体"/>
          <w:b/>
          <w:color w:val="auto"/>
          <w:sz w:val="28"/>
          <w:szCs w:val="28"/>
          <w:highlight w:val="none"/>
        </w:rPr>
        <w:t>附件4：LED产业选择依据和发展现状</w:t>
      </w:r>
      <w:bookmarkEnd w:id="201"/>
      <w:bookmarkEnd w:id="202"/>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rPr>
      </w:pPr>
      <w:r>
        <w:rPr>
          <w:b/>
          <w:bCs/>
          <w:color w:val="auto"/>
          <w:sz w:val="28"/>
          <w:szCs w:val="28"/>
          <w:highlight w:val="none"/>
          <w:lang w:val="en-GB"/>
        </w:rPr>
        <w:t>（1）</w:t>
      </w:r>
      <w:r>
        <w:rPr>
          <w:b/>
          <w:bCs/>
          <w:color w:val="auto"/>
          <w:sz w:val="28"/>
          <w:szCs w:val="28"/>
          <w:highlight w:val="none"/>
        </w:rPr>
        <w:t>选择依据</w:t>
      </w:r>
    </w:p>
    <w:p>
      <w:pPr>
        <w:keepNext w:val="0"/>
        <w:keepLines w:val="0"/>
        <w:pageBreakBefore w:val="0"/>
        <w:widowControl/>
        <w:kinsoku/>
        <w:wordWrap/>
        <w:overflowPunct/>
        <w:topLinePunct w:val="0"/>
        <w:autoSpaceDE/>
        <w:autoSpaceDN/>
        <w:bidi w:val="0"/>
        <w:adjustRightInd w:val="0"/>
        <w:snapToGrid w:val="0"/>
        <w:spacing w:line="550" w:lineRule="exact"/>
        <w:ind w:firstLine="560"/>
        <w:textAlignment w:val="auto"/>
        <w:rPr>
          <w:color w:val="auto"/>
          <w:sz w:val="28"/>
          <w:szCs w:val="28"/>
          <w:highlight w:val="none"/>
          <w:lang w:val="en-GB"/>
        </w:rPr>
      </w:pPr>
      <w:r>
        <w:rPr>
          <w:color w:val="auto"/>
          <w:sz w:val="28"/>
          <w:szCs w:val="28"/>
          <w:highlight w:val="none"/>
          <w:lang w:val="en-GB"/>
        </w:rPr>
        <w:t>南昌是第一批国家半导体照明工程产业化基地和首批国家“十城万盏”半导体照明应用工程试点城市，在国内LED产业中占有重要地位，是我国最早从事LED研发和生产的地区之一。</w:t>
      </w:r>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2</w:t>
      </w:r>
      <w:r>
        <w:rPr>
          <w:b/>
          <w:bCs/>
          <w:color w:val="auto"/>
          <w:sz w:val="28"/>
          <w:szCs w:val="28"/>
          <w:highlight w:val="none"/>
          <w:lang w:val="en-GB"/>
        </w:rPr>
        <w:t>）发展现状</w:t>
      </w:r>
    </w:p>
    <w:p>
      <w:pPr>
        <w:keepNext w:val="0"/>
        <w:keepLines w:val="0"/>
        <w:pageBreakBefore w:val="0"/>
        <w:widowControl/>
        <w:kinsoku/>
        <w:wordWrap/>
        <w:overflowPunct/>
        <w:topLinePunct w:val="0"/>
        <w:autoSpaceDE/>
        <w:autoSpaceDN/>
        <w:bidi w:val="0"/>
        <w:spacing w:line="550" w:lineRule="exact"/>
        <w:ind w:firstLine="560"/>
        <w:textAlignment w:val="auto"/>
        <w:rPr>
          <w:color w:val="auto"/>
          <w:sz w:val="28"/>
          <w:szCs w:val="28"/>
          <w:highlight w:val="none"/>
          <w:lang w:val="en-GB"/>
        </w:rPr>
      </w:pPr>
      <w:r>
        <w:rPr>
          <w:color w:val="auto"/>
          <w:sz w:val="28"/>
          <w:szCs w:val="28"/>
          <w:highlight w:val="none"/>
          <w:lang w:val="en-GB"/>
        </w:rPr>
        <w:t>LED行业发展趋向稳定成熟。2019年我国LED行业产值规模增长至7548亿元，自2006年以来我国LED产业产值规模复合增长率达到24.38%。LED本土企业已占据国内主导地位，市场集中度逐步提升。国内LED产业自2010年以来先后经历了迅猛发展、产能过剩和逐步回暖阶段，欧司朗、飞利浦等国外企业基本退出，本土企业已在外延生长、芯片制造、封装测试和应用等全产业链各环节全面崛起。经过多轮行业洗牌，各环节龙头企业不断壮大，市场竞争格局日趋成熟。热点技术和产品层出不穷。随着LED材料、外延、封装等环节技术的不断进步，基于新型材料的紫外LED和新型制备技术的小间距LED、micro LED等逐步成为技术研发和市场应用热点。应用环节市场空间巨大。近年来，通用照明、景观应用、显示等传统替代应用市场稳步增长，其正在逐步替代传统照明产品，成为家居、商业、工业、户外照明的主力。2019年，中国LED照明市场规模达到6823亿元，LED照明产品渗透率达到76%。</w:t>
      </w:r>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3</w:t>
      </w:r>
      <w:r>
        <w:rPr>
          <w:b/>
          <w:bCs/>
          <w:color w:val="auto"/>
          <w:sz w:val="28"/>
          <w:szCs w:val="28"/>
          <w:highlight w:val="none"/>
          <w:lang w:val="en-GB"/>
        </w:rPr>
        <w:t>）发展趋势</w:t>
      </w:r>
    </w:p>
    <w:p>
      <w:pPr>
        <w:keepNext w:val="0"/>
        <w:keepLines w:val="0"/>
        <w:pageBreakBefore w:val="0"/>
        <w:widowControl/>
        <w:kinsoku/>
        <w:wordWrap/>
        <w:overflowPunct/>
        <w:topLinePunct w:val="0"/>
        <w:autoSpaceDE/>
        <w:autoSpaceDN/>
        <w:bidi w:val="0"/>
        <w:adjustRightInd w:val="0"/>
        <w:snapToGrid w:val="0"/>
        <w:spacing w:line="550" w:lineRule="exact"/>
        <w:ind w:firstLine="562"/>
        <w:textAlignment w:val="auto"/>
        <w:rPr>
          <w:color w:val="auto"/>
          <w:sz w:val="28"/>
          <w:szCs w:val="28"/>
          <w:highlight w:val="none"/>
          <w:lang w:val="en-GB"/>
        </w:rPr>
      </w:pPr>
      <w:r>
        <w:rPr>
          <w:b/>
          <w:bCs/>
          <w:color w:val="auto"/>
          <w:sz w:val="28"/>
          <w:szCs w:val="28"/>
          <w:highlight w:val="none"/>
          <w:lang w:val="en-GB"/>
        </w:rPr>
        <w:t>产业应用前景广阔</w:t>
      </w:r>
      <w:r>
        <w:rPr>
          <w:color w:val="auto"/>
          <w:sz w:val="28"/>
          <w:szCs w:val="28"/>
          <w:highlight w:val="none"/>
          <w:lang w:val="en-GB"/>
        </w:rPr>
        <w:t>。LED将在家居照明、商业照明、工业照明等领域逐步渗透，形成潜力巨大的应用市场。随着消费者对照明光效、个性化照明、节能环保等要求的提升，智能照明作为行之有效的解决方案，将成为行业发展的必然趋势。</w:t>
      </w:r>
      <w:r>
        <w:rPr>
          <w:color w:val="auto"/>
          <w:kern w:val="0"/>
          <w:sz w:val="28"/>
          <w:highlight w:val="none"/>
          <w:lang w:val="en-GB"/>
        </w:rPr>
        <w:t>同时，农业照明、光医疗、可见光通信、杀菌消毒等创新应用持续涌现，有望成为未来新型LED产业的新增长点和长期成长动力。</w:t>
      </w:r>
    </w:p>
    <w:p>
      <w:pPr>
        <w:keepNext w:val="0"/>
        <w:keepLines w:val="0"/>
        <w:pageBreakBefore w:val="0"/>
        <w:widowControl/>
        <w:kinsoku/>
        <w:wordWrap/>
        <w:overflowPunct/>
        <w:topLinePunct w:val="0"/>
        <w:autoSpaceDE/>
        <w:autoSpaceDN/>
        <w:bidi w:val="0"/>
        <w:adjustRightInd w:val="0"/>
        <w:snapToGrid w:val="0"/>
        <w:spacing w:line="550" w:lineRule="exact"/>
        <w:ind w:firstLine="562"/>
        <w:textAlignment w:val="auto"/>
        <w:rPr>
          <w:color w:val="auto"/>
          <w:sz w:val="28"/>
          <w:szCs w:val="28"/>
          <w:highlight w:val="none"/>
          <w:lang w:val="en-GB"/>
        </w:rPr>
      </w:pPr>
      <w:r>
        <w:rPr>
          <w:b/>
          <w:bCs/>
          <w:color w:val="auto"/>
          <w:sz w:val="28"/>
          <w:szCs w:val="28"/>
          <w:highlight w:val="none"/>
          <w:lang w:val="en-GB"/>
        </w:rPr>
        <w:t>Mini LED、Micro LED成为技术热点</w:t>
      </w:r>
      <w:r>
        <w:rPr>
          <w:color w:val="auto"/>
          <w:sz w:val="28"/>
          <w:szCs w:val="28"/>
          <w:highlight w:val="none"/>
          <w:lang w:val="en-GB"/>
        </w:rPr>
        <w:t>。Mini LED、Micro LED、深紫外线LED、远红外线LED具有巨大的潜在市场，未来在于技术力、品牌力、市场力将持续强化，带动芯片制造、封装测试的技术和产业升级转型，应用产品向智能手机、车载电子、平板电脑、电视等领域扩展。</w:t>
      </w:r>
    </w:p>
    <w:bookmarkEnd w:id="192"/>
    <w:bookmarkEnd w:id="193"/>
    <w:p>
      <w:pPr>
        <w:keepNext w:val="0"/>
        <w:keepLines w:val="0"/>
        <w:pageBreakBefore w:val="0"/>
        <w:widowControl/>
        <w:kinsoku/>
        <w:wordWrap/>
        <w:overflowPunct/>
        <w:topLinePunct w:val="0"/>
        <w:autoSpaceDE/>
        <w:autoSpaceDN/>
        <w:bidi w:val="0"/>
        <w:spacing w:line="550" w:lineRule="exact"/>
        <w:ind w:firstLine="562"/>
        <w:textAlignment w:val="auto"/>
        <w:outlineLvl w:val="0"/>
        <w:rPr>
          <w:rFonts w:eastAsia="黑体"/>
          <w:b/>
          <w:color w:val="auto"/>
          <w:sz w:val="28"/>
          <w:szCs w:val="28"/>
          <w:highlight w:val="none"/>
        </w:rPr>
      </w:pPr>
      <w:bookmarkStart w:id="203" w:name="_Toc32469"/>
      <w:bookmarkStart w:id="204" w:name="_Toc88257175"/>
      <w:bookmarkStart w:id="205" w:name="_Toc1902233603"/>
      <w:bookmarkStart w:id="206" w:name="_Toc63181218"/>
      <w:bookmarkStart w:id="207" w:name="_Toc27287"/>
      <w:r>
        <w:rPr>
          <w:rFonts w:eastAsia="黑体"/>
          <w:b/>
          <w:color w:val="auto"/>
          <w:sz w:val="28"/>
          <w:szCs w:val="28"/>
          <w:highlight w:val="none"/>
        </w:rPr>
        <w:t>附件5：集成电路产业选择依据和发展现状</w:t>
      </w:r>
      <w:bookmarkEnd w:id="203"/>
      <w:bookmarkEnd w:id="204"/>
      <w:bookmarkEnd w:id="205"/>
      <w:bookmarkEnd w:id="206"/>
      <w:bookmarkEnd w:id="207"/>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rPr>
      </w:pPr>
      <w:r>
        <w:rPr>
          <w:b/>
          <w:bCs/>
          <w:color w:val="auto"/>
          <w:sz w:val="28"/>
          <w:szCs w:val="28"/>
          <w:highlight w:val="none"/>
          <w:lang w:val="en-GB"/>
        </w:rPr>
        <w:t>（1）</w:t>
      </w:r>
      <w:r>
        <w:rPr>
          <w:b/>
          <w:bCs/>
          <w:color w:val="auto"/>
          <w:sz w:val="28"/>
          <w:szCs w:val="28"/>
          <w:highlight w:val="none"/>
        </w:rPr>
        <w:t>选择依据</w:t>
      </w:r>
    </w:p>
    <w:p>
      <w:pPr>
        <w:keepNext w:val="0"/>
        <w:keepLines w:val="0"/>
        <w:pageBreakBefore w:val="0"/>
        <w:widowControl/>
        <w:kinsoku/>
        <w:wordWrap/>
        <w:overflowPunct/>
        <w:topLinePunct w:val="0"/>
        <w:autoSpaceDE/>
        <w:autoSpaceDN/>
        <w:bidi w:val="0"/>
        <w:adjustRightInd w:val="0"/>
        <w:snapToGrid w:val="0"/>
        <w:spacing w:line="550" w:lineRule="exact"/>
        <w:ind w:firstLine="560"/>
        <w:textAlignment w:val="auto"/>
        <w:rPr>
          <w:color w:val="auto"/>
          <w:sz w:val="28"/>
          <w:szCs w:val="28"/>
          <w:highlight w:val="none"/>
          <w:lang w:val="en-GB"/>
        </w:rPr>
      </w:pPr>
      <w:r>
        <w:rPr>
          <w:color w:val="auto"/>
          <w:sz w:val="28"/>
          <w:szCs w:val="28"/>
          <w:highlight w:val="none"/>
          <w:lang w:val="en-GB"/>
        </w:rPr>
        <w:t>集成电路是电子信息领域的先导性和支柱性产业。自2014年至今，我国出台《国家集成电路产业发展推进纲要》《新时期促进集成电路产业和软件产业高质量发展若干政策》等一系列政策文件，推动集成电路产业发展。</w:t>
      </w:r>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2</w:t>
      </w:r>
      <w:r>
        <w:rPr>
          <w:b/>
          <w:bCs/>
          <w:color w:val="auto"/>
          <w:sz w:val="28"/>
          <w:szCs w:val="28"/>
          <w:highlight w:val="none"/>
          <w:lang w:val="en-GB"/>
        </w:rPr>
        <w:t>）发展现状</w:t>
      </w:r>
    </w:p>
    <w:p>
      <w:pPr>
        <w:keepNext w:val="0"/>
        <w:keepLines w:val="0"/>
        <w:pageBreakBefore w:val="0"/>
        <w:widowControl/>
        <w:kinsoku/>
        <w:wordWrap/>
        <w:overflowPunct/>
        <w:topLinePunct w:val="0"/>
        <w:autoSpaceDE/>
        <w:autoSpaceDN/>
        <w:bidi w:val="0"/>
        <w:spacing w:line="550" w:lineRule="exact"/>
        <w:ind w:firstLine="562"/>
        <w:textAlignment w:val="auto"/>
        <w:rPr>
          <w:color w:val="auto"/>
          <w:sz w:val="28"/>
          <w:szCs w:val="28"/>
          <w:highlight w:val="none"/>
          <w:lang w:val="en-GB"/>
        </w:rPr>
      </w:pPr>
      <w:r>
        <w:rPr>
          <w:b/>
          <w:color w:val="auto"/>
          <w:sz w:val="28"/>
          <w:szCs w:val="28"/>
          <w:highlight w:val="none"/>
          <w:lang w:val="en-GB"/>
        </w:rPr>
        <w:t>产品和技术创新步伐加快。</w:t>
      </w:r>
      <w:r>
        <w:rPr>
          <w:color w:val="auto"/>
          <w:sz w:val="28"/>
          <w:szCs w:val="28"/>
          <w:highlight w:val="none"/>
          <w:lang w:val="en-GB"/>
        </w:rPr>
        <w:t>芯片设计方面，随着人工智能、物联网等新兴领域崛起，大数据和高性能计算推动处理器向异构和定制化演进。在开源硬件发展带动下，指令集架构开源趋势显现。RISC-V作为近年来开源指令集的突出代表已经受到国内外各领域的广泛关注。制造工艺方面，先进工艺制程继续延续摩尔定律。三星、台积电等龙头制造企业继续承担起推动摩尔定律前进重任，开始向5纳米、3纳米、甚至1纳米工艺节点进军。芯片封测方面，先进封装和异质集成技术等成为重要趋势。FCBGA、WLP等先进封测更专注于小尺寸，高集成度、定制化以及高可靠性。2.5D和3D堆叠封装技术已经成为普遍认可的“异构集成”解决方案。</w:t>
      </w:r>
    </w:p>
    <w:p>
      <w:pPr>
        <w:keepNext w:val="0"/>
        <w:keepLines w:val="0"/>
        <w:pageBreakBefore w:val="0"/>
        <w:widowControl/>
        <w:kinsoku/>
        <w:wordWrap/>
        <w:overflowPunct/>
        <w:topLinePunct w:val="0"/>
        <w:autoSpaceDE/>
        <w:autoSpaceDN/>
        <w:bidi w:val="0"/>
        <w:spacing w:line="550" w:lineRule="exact"/>
        <w:ind w:firstLine="562"/>
        <w:textAlignment w:val="auto"/>
        <w:rPr>
          <w:color w:val="auto"/>
          <w:sz w:val="28"/>
          <w:szCs w:val="28"/>
          <w:highlight w:val="none"/>
          <w:lang w:val="en-GB"/>
        </w:rPr>
      </w:pPr>
      <w:r>
        <w:rPr>
          <w:b/>
          <w:color w:val="auto"/>
          <w:sz w:val="28"/>
          <w:szCs w:val="28"/>
          <w:highlight w:val="none"/>
          <w:lang w:val="en-GB"/>
        </w:rPr>
        <w:t>存储器市场低迷带动全球市场大幅下跌。</w:t>
      </w:r>
      <w:r>
        <w:rPr>
          <w:color w:val="auto"/>
          <w:sz w:val="28"/>
          <w:szCs w:val="28"/>
          <w:highlight w:val="none"/>
          <w:lang w:val="en-GB"/>
        </w:rPr>
        <w:t>2019年全球集成电路市场销售额出现较大幅度下滑，其中存储器作为重要产品，存储市场的低迷成为全球市场下滑的主要因素。2019年存储器市场规模为1064.4亿美元，下跌32.6%，占销售额的25.8%，低于2018年的37.5%。DRAM产品从2018年底开始面临需求下降，一直到2019年均处于供过于求状态，导致2019年平均销售价格下降47.4%。NAND闪存也由于库存上升、需求疲软，2019年开始进入下滑，全年销售额下降23%，平均销售价格下跌25.7%。此外，智能手机需求疲软、汽车与工业领域应用需求减少、全球贸易环境恶化等因素也使得集成电路产业整体出现较大幅度调整。</w:t>
      </w:r>
    </w:p>
    <w:p>
      <w:pPr>
        <w:keepNext w:val="0"/>
        <w:keepLines w:val="0"/>
        <w:pageBreakBefore w:val="0"/>
        <w:widowControl/>
        <w:kinsoku/>
        <w:wordWrap/>
        <w:overflowPunct/>
        <w:topLinePunct w:val="0"/>
        <w:autoSpaceDE/>
        <w:autoSpaceDN/>
        <w:bidi w:val="0"/>
        <w:spacing w:line="550" w:lineRule="exact"/>
        <w:ind w:firstLine="562"/>
        <w:textAlignment w:val="auto"/>
        <w:rPr>
          <w:color w:val="auto"/>
          <w:sz w:val="28"/>
          <w:szCs w:val="28"/>
          <w:highlight w:val="none"/>
          <w:lang w:val="en-GB"/>
        </w:rPr>
      </w:pPr>
      <w:r>
        <w:rPr>
          <w:b/>
          <w:color w:val="auto"/>
          <w:sz w:val="28"/>
          <w:szCs w:val="28"/>
          <w:highlight w:val="none"/>
          <w:lang w:val="en-GB"/>
        </w:rPr>
        <w:t>产业并购出现回升态势。</w:t>
      </w:r>
      <w:r>
        <w:rPr>
          <w:color w:val="auto"/>
          <w:sz w:val="28"/>
          <w:szCs w:val="28"/>
          <w:highlight w:val="none"/>
          <w:lang w:val="en-GB"/>
        </w:rPr>
        <w:t>由于研发成本攀升、技术迭代速度加快，全球半导体企业内生增长速度放缓，通过并购提高技术能力、扩大产品线，成为半导体企业寻求业绩增长的重要方式。5G、人工智能与自动驾驶等新兴领域的逐步兴起也推动集成电路企业通过并购在这些新兴领域开拓布局，进一步助推产业并购回暖。由于美国政府加强对外资并购交易审查，国内企业海外并购进一步减少，但也出现韦尔股份19.5亿美元并购豪威科技，北京君正72亿元并购北京矽成半导体、紫光国微26亿美元收购法国芯片商Linxens等重大并购交易，助推了我国集成电路产业优质资源整合。2019年集成电路产业并购金额达到317亿美元，同比增长22%。</w:t>
      </w:r>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3</w:t>
      </w:r>
      <w:r>
        <w:rPr>
          <w:b/>
          <w:bCs/>
          <w:color w:val="auto"/>
          <w:sz w:val="28"/>
          <w:szCs w:val="28"/>
          <w:highlight w:val="none"/>
          <w:lang w:val="en-GB"/>
        </w:rPr>
        <w:t>）发展趋势</w:t>
      </w:r>
    </w:p>
    <w:p>
      <w:pPr>
        <w:keepNext w:val="0"/>
        <w:keepLines w:val="0"/>
        <w:pageBreakBefore w:val="0"/>
        <w:widowControl/>
        <w:kinsoku/>
        <w:wordWrap/>
        <w:overflowPunct/>
        <w:topLinePunct w:val="0"/>
        <w:autoSpaceDE/>
        <w:autoSpaceDN/>
        <w:bidi w:val="0"/>
        <w:spacing w:line="550" w:lineRule="exact"/>
        <w:ind w:firstLine="562"/>
        <w:textAlignment w:val="auto"/>
        <w:rPr>
          <w:color w:val="auto"/>
          <w:sz w:val="28"/>
          <w:szCs w:val="28"/>
          <w:highlight w:val="none"/>
          <w:lang w:val="en-GB"/>
        </w:rPr>
      </w:pPr>
      <w:r>
        <w:rPr>
          <w:b/>
          <w:color w:val="auto"/>
          <w:sz w:val="28"/>
          <w:szCs w:val="28"/>
          <w:highlight w:val="none"/>
          <w:lang w:val="en-GB"/>
        </w:rPr>
        <w:t>提升集成电路核心竞争力成大势所趋。</w:t>
      </w:r>
      <w:r>
        <w:rPr>
          <w:color w:val="auto"/>
          <w:sz w:val="28"/>
          <w:szCs w:val="28"/>
          <w:highlight w:val="none"/>
          <w:lang w:val="en-GB"/>
        </w:rPr>
        <w:t>中美贸易摩擦对我国集成电路产业产生了多方面的影响。一方面，关税提高使得我国众多小型电子产品生产型企业率先受到影响，中长期来看，包括智能手机、计算机、白色家电在内的国内整机生产供应链都将受到负面影响，并逐渐传递至产业链上游的集成电路封测和制造业企业。另一方面，2019年以来，美为限制我IT产业发展，先后将华为、晋华、海光等我集成电路骨干企业列入出口管制“实体清单”，并不断升级出口管制措施。面对复杂的国际环境，2019年无论整机企业还是集成电路企业均意识到供应链安全的重要性，提升自主知识产权的核心技术成为产业发展的重点方向。</w:t>
      </w:r>
    </w:p>
    <w:p>
      <w:pPr>
        <w:keepNext w:val="0"/>
        <w:keepLines w:val="0"/>
        <w:pageBreakBefore w:val="0"/>
        <w:widowControl/>
        <w:kinsoku/>
        <w:wordWrap/>
        <w:overflowPunct/>
        <w:topLinePunct w:val="0"/>
        <w:autoSpaceDE/>
        <w:autoSpaceDN/>
        <w:bidi w:val="0"/>
        <w:spacing w:line="550" w:lineRule="exact"/>
        <w:ind w:firstLine="562"/>
        <w:textAlignment w:val="auto"/>
        <w:rPr>
          <w:color w:val="auto"/>
          <w:sz w:val="28"/>
          <w:szCs w:val="28"/>
          <w:highlight w:val="none"/>
          <w:lang w:val="en-GB"/>
        </w:rPr>
      </w:pPr>
      <w:r>
        <w:rPr>
          <w:b/>
          <w:color w:val="auto"/>
          <w:sz w:val="28"/>
          <w:szCs w:val="28"/>
          <w:highlight w:val="none"/>
          <w:lang w:val="en-GB"/>
        </w:rPr>
        <w:t>我国集成电路技术水平正在不断提升。</w:t>
      </w:r>
      <w:r>
        <w:rPr>
          <w:color w:val="auto"/>
          <w:sz w:val="28"/>
          <w:szCs w:val="28"/>
          <w:highlight w:val="none"/>
          <w:lang w:val="en-GB"/>
        </w:rPr>
        <w:t>设计方面，我国最新的通信芯片进入最先进的7纳米工艺，智能终端、网络通信等领域芯片设计水平越来越多采用28纳米工艺。制造方面，国内龙头企业通过不懈努力正在逐步缩小与国际先进水平的差距。中芯国际将加快14纳米产能提升和7纳米工艺的技术追赶步伐，长江存储、合肥长鑫等将着力提升NAND和DRAM制造产能，并开发下一代产品。封测方面，龙头企业实力增强，先进封测产能占比不断提升。装备方面，介质刻蚀机、薄膜设备、硅片、靶材等一批关键装备、核心材料实现量产，逐步打入先进工艺生产线。目前我国12英寸设备已经实现部分突破，总体水平达到28纳米。</w:t>
      </w:r>
    </w:p>
    <w:p>
      <w:pPr>
        <w:keepNext w:val="0"/>
        <w:keepLines w:val="0"/>
        <w:pageBreakBefore w:val="0"/>
        <w:widowControl/>
        <w:kinsoku/>
        <w:wordWrap/>
        <w:overflowPunct/>
        <w:topLinePunct w:val="0"/>
        <w:autoSpaceDE/>
        <w:autoSpaceDN/>
        <w:bidi w:val="0"/>
        <w:spacing w:line="550" w:lineRule="exact"/>
        <w:ind w:firstLine="562"/>
        <w:textAlignment w:val="auto"/>
        <w:rPr>
          <w:color w:val="auto"/>
          <w:sz w:val="28"/>
          <w:szCs w:val="28"/>
          <w:highlight w:val="none"/>
          <w:lang w:val="en-GB"/>
        </w:rPr>
      </w:pPr>
      <w:r>
        <w:rPr>
          <w:b/>
          <w:color w:val="auto"/>
          <w:sz w:val="28"/>
          <w:szCs w:val="28"/>
          <w:highlight w:val="none"/>
          <w:lang w:val="en-GB"/>
        </w:rPr>
        <w:t>5G、智能汽车等前沿应用成为有效推动力量。</w:t>
      </w:r>
      <w:r>
        <w:rPr>
          <w:color w:val="auto"/>
          <w:sz w:val="28"/>
          <w:szCs w:val="28"/>
          <w:highlight w:val="none"/>
          <w:lang w:val="en-GB"/>
        </w:rPr>
        <w:t>各大半导体企业均已在5G领域展开布局。高通、华为、联发科、三星等均已发布5G基带和SoC芯片。据Gartner预测数据，到2023年，全球5G智能手机渗透率将从2019年的1%增长到60%，将带动基带/应用处理器、射频前端、电源管理芯片等产品快速增长，5G相关的集成电路产值将达到304亿美元。随着智能驾驶不断渗透，全球半导体企业也在汽车电子领域加快布局，除恩智浦、英飞凌、瑞萨等传统汽车芯片厂商外，多家消费芯片厂商开始进军汽车产业，英伟达、英特尔等均已推出具备AI计算能力的主控芯片。2018年全球汽车集成电路市场规模为424亿美元，预计到2022年将达642亿美元，成为增速最快的应用领域之一。</w:t>
      </w:r>
    </w:p>
    <w:p>
      <w:pPr>
        <w:keepNext w:val="0"/>
        <w:keepLines w:val="0"/>
        <w:pageBreakBefore w:val="0"/>
        <w:widowControl/>
        <w:kinsoku/>
        <w:wordWrap/>
        <w:overflowPunct/>
        <w:topLinePunct w:val="0"/>
        <w:autoSpaceDE/>
        <w:autoSpaceDN/>
        <w:bidi w:val="0"/>
        <w:spacing w:line="550" w:lineRule="exact"/>
        <w:ind w:firstLine="562"/>
        <w:textAlignment w:val="auto"/>
        <w:outlineLvl w:val="0"/>
        <w:rPr>
          <w:rFonts w:eastAsia="黑体"/>
          <w:b/>
          <w:color w:val="auto"/>
          <w:sz w:val="28"/>
          <w:szCs w:val="28"/>
          <w:highlight w:val="none"/>
        </w:rPr>
      </w:pPr>
      <w:bookmarkStart w:id="208" w:name="_Toc28825"/>
      <w:bookmarkStart w:id="209" w:name="_Toc63181219"/>
      <w:bookmarkStart w:id="210" w:name="_Toc30892"/>
      <w:bookmarkStart w:id="211" w:name="_Toc2065192130"/>
      <w:bookmarkStart w:id="212" w:name="_Toc88257176"/>
      <w:r>
        <w:rPr>
          <w:rFonts w:eastAsia="黑体"/>
          <w:b/>
          <w:color w:val="auto"/>
          <w:sz w:val="28"/>
          <w:szCs w:val="28"/>
          <w:highlight w:val="none"/>
        </w:rPr>
        <w:t>附件6：新型显示产业选择依据和发展现状</w:t>
      </w:r>
      <w:bookmarkEnd w:id="208"/>
      <w:bookmarkEnd w:id="209"/>
      <w:bookmarkEnd w:id="210"/>
      <w:bookmarkEnd w:id="211"/>
      <w:bookmarkEnd w:id="212"/>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rPr>
      </w:pPr>
      <w:r>
        <w:rPr>
          <w:b/>
          <w:bCs/>
          <w:color w:val="auto"/>
          <w:sz w:val="28"/>
          <w:szCs w:val="28"/>
          <w:highlight w:val="none"/>
          <w:lang w:val="en-GB"/>
        </w:rPr>
        <w:t>（1）</w:t>
      </w:r>
      <w:r>
        <w:rPr>
          <w:b/>
          <w:bCs/>
          <w:color w:val="auto"/>
          <w:sz w:val="28"/>
          <w:szCs w:val="28"/>
          <w:highlight w:val="none"/>
        </w:rPr>
        <w:t>选择依据</w:t>
      </w:r>
    </w:p>
    <w:p>
      <w:pPr>
        <w:keepNext w:val="0"/>
        <w:keepLines w:val="0"/>
        <w:pageBreakBefore w:val="0"/>
        <w:widowControl/>
        <w:kinsoku/>
        <w:wordWrap/>
        <w:overflowPunct/>
        <w:topLinePunct w:val="0"/>
        <w:autoSpaceDE/>
        <w:autoSpaceDN/>
        <w:bidi w:val="0"/>
        <w:spacing w:line="550" w:lineRule="exact"/>
        <w:ind w:firstLine="560"/>
        <w:textAlignment w:val="auto"/>
        <w:rPr>
          <w:color w:val="auto"/>
          <w:sz w:val="28"/>
          <w:szCs w:val="28"/>
          <w:highlight w:val="none"/>
        </w:rPr>
      </w:pPr>
      <w:r>
        <w:rPr>
          <w:color w:val="auto"/>
          <w:sz w:val="28"/>
          <w:szCs w:val="28"/>
          <w:highlight w:val="none"/>
        </w:rPr>
        <w:t>智能手机市场近年来走向成熟，竞争日益激烈，屏幕成为竞争的焦点，差异化发展是各家手机企业竞相追逐的重点。新技术普及速度不断加快，全面屏产品在手机市场从问世到普及率超过50%仅用了9个月，在此基础上衍生出来的“刘海屏”“水滴屏”“瀑布屏”也得到了手机企业热烈追捧。折叠屏作为产业发展的下一个热点，将手机与平板电脑合二为一，不仅极大提升了智能终端的使用范围，同时也成为引领产业转型的方向。电视面板是新型显示技术的主要应用之一，是多种显示技术竞相追逐的目标市场。随着智慧城市、智能网联汽车以及虚拟现实等行业的兴起，新型显示产业的应用范围得到进一步拓展，新型显示面板呈现爆发增长态势。</w:t>
      </w:r>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2</w:t>
      </w:r>
      <w:r>
        <w:rPr>
          <w:b/>
          <w:bCs/>
          <w:color w:val="auto"/>
          <w:sz w:val="28"/>
          <w:szCs w:val="28"/>
          <w:highlight w:val="none"/>
          <w:lang w:val="en-GB"/>
        </w:rPr>
        <w:t>）发展现状</w:t>
      </w:r>
    </w:p>
    <w:p>
      <w:pPr>
        <w:keepNext w:val="0"/>
        <w:keepLines w:val="0"/>
        <w:pageBreakBefore w:val="0"/>
        <w:widowControl/>
        <w:kinsoku/>
        <w:wordWrap/>
        <w:overflowPunct/>
        <w:topLinePunct w:val="0"/>
        <w:autoSpaceDE/>
        <w:autoSpaceDN/>
        <w:bidi w:val="0"/>
        <w:spacing w:line="550" w:lineRule="exact"/>
        <w:ind w:firstLine="560"/>
        <w:textAlignment w:val="auto"/>
        <w:rPr>
          <w:color w:val="auto"/>
          <w:sz w:val="28"/>
          <w:szCs w:val="28"/>
          <w:highlight w:val="none"/>
        </w:rPr>
      </w:pPr>
      <w:r>
        <w:rPr>
          <w:color w:val="auto"/>
          <w:sz w:val="28"/>
          <w:szCs w:val="28"/>
          <w:highlight w:val="none"/>
        </w:rPr>
        <w:t>未来，网络流量中90%的内容以视频方式呈现，显示面板将扮演不可或缺的角色。从产业规模看，2019年大陆地区显示器件出货面积达1.2亿平方米，同比增长18%，约占全球比重51%，全产业链营业收入超过4300亿元，近5年复合增长率高达27%。5G、虚拟现实、人工智能、无人驾驶、生物识别等新技术的发展均将进一步带动新型显示产业持续增长，据Omdia预测，预计2020年全球平板显示（LCD+OLED）产能可达356.4百万平方米，其中我国产能占全球份额可达53%，约189.5百万平方米。我国AMOLED面板产能规模不断扩大，待目前规划建设产能完成，将赶超韩国；激光显示、LED发光二极管显示、电子纸显示、LCOS（硅基液晶）和Micro LED/OLED微显示等领域，我国已经成为全球最大的生产基地。</w:t>
      </w:r>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3</w:t>
      </w:r>
      <w:r>
        <w:rPr>
          <w:b/>
          <w:bCs/>
          <w:color w:val="auto"/>
          <w:sz w:val="28"/>
          <w:szCs w:val="28"/>
          <w:highlight w:val="none"/>
          <w:lang w:val="en-GB"/>
        </w:rPr>
        <w:t>）发展趋势</w:t>
      </w:r>
    </w:p>
    <w:p>
      <w:pPr>
        <w:keepNext w:val="0"/>
        <w:keepLines w:val="0"/>
        <w:pageBreakBefore w:val="0"/>
        <w:widowControl/>
        <w:kinsoku/>
        <w:wordWrap/>
        <w:overflowPunct/>
        <w:topLinePunct w:val="0"/>
        <w:autoSpaceDE/>
        <w:autoSpaceDN/>
        <w:bidi w:val="0"/>
        <w:spacing w:line="550" w:lineRule="exact"/>
        <w:ind w:firstLine="560"/>
        <w:textAlignment w:val="auto"/>
        <w:rPr>
          <w:color w:val="auto"/>
          <w:sz w:val="28"/>
          <w:szCs w:val="28"/>
          <w:highlight w:val="none"/>
        </w:rPr>
      </w:pPr>
      <w:r>
        <w:rPr>
          <w:color w:val="auto"/>
          <w:sz w:val="28"/>
          <w:szCs w:val="28"/>
          <w:highlight w:val="none"/>
        </w:rPr>
        <w:t>在万物互联时代，屏幕正在成为人机交互过程中最重要的“窗口”之一。小尺寸方面，AMOLED将逐步取代LCD成为主流。大尺寸方面，仍以LCD为主流，量子点面板、Micro-LED等新技术将逐渐崛起。随着相关材料、设备的逐渐成熟，印刷OLED制程技术也将加快研发，未来两到三年有望迎来大规模商用。低功耗、低成本、高清化、柔性化是新型显示技术的发展方向，可实现任意尺寸、任意形状无缝拼接的超大屏幕终端显示将更具优势，高动态范围、超高像素密度、高亮度和高对比度的新型显示技术将被用于高阶可携带终端显示。</w:t>
      </w:r>
    </w:p>
    <w:p>
      <w:pPr>
        <w:keepNext w:val="0"/>
        <w:keepLines w:val="0"/>
        <w:pageBreakBefore w:val="0"/>
        <w:widowControl/>
        <w:kinsoku/>
        <w:wordWrap/>
        <w:overflowPunct/>
        <w:topLinePunct w:val="0"/>
        <w:autoSpaceDE/>
        <w:autoSpaceDN/>
        <w:bidi w:val="0"/>
        <w:spacing w:line="550" w:lineRule="exact"/>
        <w:ind w:firstLine="562"/>
        <w:textAlignment w:val="auto"/>
        <w:outlineLvl w:val="0"/>
        <w:rPr>
          <w:rFonts w:eastAsia="黑体"/>
          <w:b/>
          <w:color w:val="auto"/>
          <w:sz w:val="28"/>
          <w:szCs w:val="28"/>
          <w:highlight w:val="none"/>
        </w:rPr>
      </w:pPr>
      <w:bookmarkStart w:id="213" w:name="_Toc88257177"/>
      <w:bookmarkStart w:id="214" w:name="_Toc781285837"/>
      <w:r>
        <w:rPr>
          <w:rFonts w:eastAsia="黑体"/>
          <w:b/>
          <w:color w:val="auto"/>
          <w:sz w:val="28"/>
          <w:szCs w:val="28"/>
          <w:highlight w:val="none"/>
        </w:rPr>
        <w:t>附件7：电子材料产业选择依据和发展现状</w:t>
      </w:r>
      <w:bookmarkEnd w:id="213"/>
      <w:bookmarkEnd w:id="214"/>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rPr>
      </w:pPr>
      <w:r>
        <w:rPr>
          <w:b/>
          <w:bCs/>
          <w:color w:val="auto"/>
          <w:sz w:val="28"/>
          <w:szCs w:val="28"/>
          <w:highlight w:val="none"/>
          <w:lang w:val="en-GB"/>
        </w:rPr>
        <w:t>（1）</w:t>
      </w:r>
      <w:r>
        <w:rPr>
          <w:b/>
          <w:bCs/>
          <w:color w:val="auto"/>
          <w:sz w:val="28"/>
          <w:szCs w:val="28"/>
          <w:highlight w:val="none"/>
        </w:rPr>
        <w:t>选择依据</w:t>
      </w:r>
    </w:p>
    <w:p>
      <w:pPr>
        <w:keepNext w:val="0"/>
        <w:keepLines w:val="0"/>
        <w:pageBreakBefore w:val="0"/>
        <w:widowControl/>
        <w:kinsoku/>
        <w:wordWrap/>
        <w:overflowPunct/>
        <w:topLinePunct w:val="0"/>
        <w:autoSpaceDE/>
        <w:autoSpaceDN/>
        <w:bidi w:val="0"/>
        <w:adjustRightInd w:val="0"/>
        <w:snapToGrid w:val="0"/>
        <w:spacing w:line="550" w:lineRule="exact"/>
        <w:ind w:firstLine="560"/>
        <w:textAlignment w:val="auto"/>
        <w:rPr>
          <w:color w:val="auto"/>
          <w:sz w:val="28"/>
          <w:szCs w:val="28"/>
          <w:highlight w:val="none"/>
          <w:lang w:val="en-GB"/>
        </w:rPr>
      </w:pPr>
      <w:r>
        <w:rPr>
          <w:color w:val="auto"/>
          <w:sz w:val="28"/>
          <w:szCs w:val="28"/>
          <w:highlight w:val="none"/>
          <w:lang w:val="en-GB"/>
        </w:rPr>
        <w:t>电子材料是推动信息化进程的关键材料，经济规模巨大，关联产业众多，是促进电子信息产业升级的重要动力。</w:t>
      </w:r>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2</w:t>
      </w:r>
      <w:r>
        <w:rPr>
          <w:b/>
          <w:bCs/>
          <w:color w:val="auto"/>
          <w:sz w:val="28"/>
          <w:szCs w:val="28"/>
          <w:highlight w:val="none"/>
          <w:lang w:val="en-GB"/>
        </w:rPr>
        <w:t>）发展现状</w:t>
      </w:r>
    </w:p>
    <w:p>
      <w:pPr>
        <w:keepNext w:val="0"/>
        <w:keepLines w:val="0"/>
        <w:pageBreakBefore w:val="0"/>
        <w:widowControl/>
        <w:kinsoku/>
        <w:wordWrap/>
        <w:overflowPunct/>
        <w:topLinePunct w:val="0"/>
        <w:autoSpaceDE/>
        <w:autoSpaceDN/>
        <w:bidi w:val="0"/>
        <w:adjustRightInd w:val="0"/>
        <w:snapToGrid w:val="0"/>
        <w:spacing w:line="550" w:lineRule="exact"/>
        <w:ind w:firstLine="560"/>
        <w:textAlignment w:val="auto"/>
        <w:rPr>
          <w:color w:val="auto"/>
          <w:sz w:val="28"/>
          <w:szCs w:val="28"/>
          <w:highlight w:val="none"/>
          <w:lang w:val="en-GB"/>
        </w:rPr>
      </w:pPr>
      <w:r>
        <w:rPr>
          <w:color w:val="auto"/>
          <w:sz w:val="28"/>
          <w:szCs w:val="28"/>
          <w:highlight w:val="none"/>
          <w:lang w:val="en-GB"/>
        </w:rPr>
        <w:t>电子材料主要是指在微电子、光电子、新型元器件等基础电子产品领域中所用的材料，按应用领域分类主要包括：以单晶硅为代表的半学体微电子材料；以激光品体为代表的光电子材料；以介质陶瓷和热敏陶瓷为代表的电子陶瓷材料；以钕铁硼（NdFeB）永磁材料为代表的磁性材料；光纤通信材料；以磁存储和光盘存储为主的数据存储材料；压电晶体与薄膜材料；各类掺杂和涂敷材料；以贮氢材料和钾离子嵌入材料为代表的绿色电池材料等。全球电子材料产业规模稳步扩大。2017年全球电子材料产业规模达到了9850亿元，同比增长8%，其中，平板显示材料、半导体材料、锂离子电池材料的占比依次位居前三位。</w:t>
      </w:r>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3</w:t>
      </w:r>
      <w:r>
        <w:rPr>
          <w:b/>
          <w:bCs/>
          <w:color w:val="auto"/>
          <w:sz w:val="28"/>
          <w:szCs w:val="28"/>
          <w:highlight w:val="none"/>
          <w:lang w:val="en-GB"/>
        </w:rPr>
        <w:t>）发展趋势</w:t>
      </w:r>
    </w:p>
    <w:p>
      <w:pPr>
        <w:keepNext w:val="0"/>
        <w:keepLines w:val="0"/>
        <w:pageBreakBefore w:val="0"/>
        <w:widowControl/>
        <w:kinsoku/>
        <w:wordWrap/>
        <w:overflowPunct/>
        <w:topLinePunct w:val="0"/>
        <w:autoSpaceDE/>
        <w:autoSpaceDN/>
        <w:bidi w:val="0"/>
        <w:adjustRightInd w:val="0"/>
        <w:snapToGrid w:val="0"/>
        <w:spacing w:line="550" w:lineRule="exact"/>
        <w:ind w:firstLine="560"/>
        <w:textAlignment w:val="auto"/>
        <w:rPr>
          <w:color w:val="auto"/>
          <w:sz w:val="28"/>
          <w:szCs w:val="28"/>
          <w:highlight w:val="none"/>
        </w:rPr>
      </w:pPr>
      <w:r>
        <w:rPr>
          <w:color w:val="auto"/>
          <w:sz w:val="28"/>
          <w:szCs w:val="28"/>
          <w:highlight w:val="none"/>
          <w:lang w:val="en-GB"/>
        </w:rPr>
        <w:t>随着社会和经济的发展、全球化趋势的加快，电子材料的总体发展趋势是向着大尺寸、高均匀性、高完整性、以及薄膜化、多功能化和集成化方向发展。目前世界研究热点和技术前沿主要包括柔性晶体管、光子晶体、SiC、GaN、ZnSe等宽禁带半导体材料为代表的新一代半导体材料、有机显示材料以及各种纳米电子材料等。日前，新型电子材料的产业优势主要在美国、日本等少数发达国家，仅信越、瓦克、住友、MENIC、三菱材料公司5家企业硅片销售就占国际销售额的80%。</w:t>
      </w:r>
    </w:p>
    <w:p>
      <w:pPr>
        <w:keepNext w:val="0"/>
        <w:keepLines w:val="0"/>
        <w:pageBreakBefore w:val="0"/>
        <w:widowControl/>
        <w:kinsoku/>
        <w:wordWrap/>
        <w:overflowPunct/>
        <w:topLinePunct w:val="0"/>
        <w:autoSpaceDE/>
        <w:autoSpaceDN/>
        <w:bidi w:val="0"/>
        <w:spacing w:line="550" w:lineRule="exact"/>
        <w:ind w:firstLine="562"/>
        <w:textAlignment w:val="auto"/>
        <w:outlineLvl w:val="0"/>
        <w:rPr>
          <w:rFonts w:eastAsia="黑体"/>
          <w:b/>
          <w:color w:val="auto"/>
          <w:sz w:val="28"/>
          <w:szCs w:val="28"/>
          <w:highlight w:val="none"/>
        </w:rPr>
      </w:pPr>
      <w:bookmarkStart w:id="215" w:name="_Toc94990456"/>
      <w:bookmarkStart w:id="216" w:name="_Toc88257178"/>
      <w:bookmarkStart w:id="217" w:name="_Toc18039"/>
      <w:bookmarkStart w:id="218" w:name="_Toc4284"/>
      <w:bookmarkStart w:id="219" w:name="_Toc63181221"/>
      <w:r>
        <w:rPr>
          <w:rFonts w:eastAsia="黑体"/>
          <w:b/>
          <w:color w:val="auto"/>
          <w:sz w:val="28"/>
          <w:szCs w:val="28"/>
          <w:highlight w:val="none"/>
        </w:rPr>
        <w:t>附件8：电子元器件产业选择依据和发展现状</w:t>
      </w:r>
      <w:bookmarkEnd w:id="215"/>
      <w:bookmarkEnd w:id="216"/>
      <w:bookmarkEnd w:id="217"/>
      <w:bookmarkEnd w:id="218"/>
      <w:bookmarkEnd w:id="219"/>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rPr>
      </w:pPr>
      <w:r>
        <w:rPr>
          <w:b/>
          <w:bCs/>
          <w:color w:val="auto"/>
          <w:sz w:val="28"/>
          <w:szCs w:val="28"/>
          <w:highlight w:val="none"/>
          <w:lang w:val="en-GB"/>
        </w:rPr>
        <w:t>（1）</w:t>
      </w:r>
      <w:r>
        <w:rPr>
          <w:b/>
          <w:bCs/>
          <w:color w:val="auto"/>
          <w:sz w:val="28"/>
          <w:szCs w:val="28"/>
          <w:highlight w:val="none"/>
        </w:rPr>
        <w:t>选择依据</w:t>
      </w:r>
    </w:p>
    <w:p>
      <w:pPr>
        <w:keepNext w:val="0"/>
        <w:keepLines w:val="0"/>
        <w:pageBreakBefore w:val="0"/>
        <w:widowControl/>
        <w:kinsoku/>
        <w:wordWrap/>
        <w:overflowPunct/>
        <w:topLinePunct w:val="0"/>
        <w:autoSpaceDE/>
        <w:autoSpaceDN/>
        <w:bidi w:val="0"/>
        <w:adjustRightInd w:val="0"/>
        <w:snapToGrid w:val="0"/>
        <w:spacing w:line="550" w:lineRule="exact"/>
        <w:ind w:firstLine="560"/>
        <w:textAlignment w:val="auto"/>
        <w:rPr>
          <w:color w:val="auto"/>
          <w:sz w:val="28"/>
          <w:szCs w:val="28"/>
          <w:highlight w:val="none"/>
        </w:rPr>
      </w:pPr>
      <w:r>
        <w:rPr>
          <w:color w:val="auto"/>
          <w:sz w:val="28"/>
          <w:szCs w:val="28"/>
          <w:highlight w:val="none"/>
        </w:rPr>
        <w:t>5G不仅自身具有巨大的产业价值，还能带动电子元器件等基础产业的快速发展。5G将与互联网、物联网以及工业、交通、医疗等行业应用融合地更加紧密，在三网融合建设中，无论是网络设备还是终端设备都离不开各种元器件。中央提倡加快新型基础设施建设，在5G基站建设、特高压、城际高速铁路和城市轨道交通、新能源汽车充电桩、大数据中心、人工智能、工业互联网七大领域的建设过程中，都要依托关键元器件技术的革新，为我国的元器件企业提供了巨大的市场机遇，我国电子元器件行业市场需求旺盛。</w:t>
      </w:r>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2</w:t>
      </w:r>
      <w:r>
        <w:rPr>
          <w:b/>
          <w:bCs/>
          <w:color w:val="auto"/>
          <w:sz w:val="28"/>
          <w:szCs w:val="28"/>
          <w:highlight w:val="none"/>
          <w:lang w:val="en-GB"/>
        </w:rPr>
        <w:t>）发展现状</w:t>
      </w:r>
    </w:p>
    <w:p>
      <w:pPr>
        <w:keepNext w:val="0"/>
        <w:keepLines w:val="0"/>
        <w:pageBreakBefore w:val="0"/>
        <w:widowControl/>
        <w:kinsoku/>
        <w:wordWrap/>
        <w:overflowPunct/>
        <w:topLinePunct w:val="0"/>
        <w:autoSpaceDE/>
        <w:autoSpaceDN/>
        <w:bidi w:val="0"/>
        <w:adjustRightInd w:val="0"/>
        <w:snapToGrid w:val="0"/>
        <w:spacing w:line="550" w:lineRule="exact"/>
        <w:ind w:firstLine="560"/>
        <w:textAlignment w:val="auto"/>
        <w:rPr>
          <w:color w:val="auto"/>
          <w:sz w:val="28"/>
          <w:szCs w:val="28"/>
          <w:highlight w:val="none"/>
        </w:rPr>
      </w:pPr>
      <w:r>
        <w:rPr>
          <w:color w:val="auto"/>
          <w:sz w:val="28"/>
          <w:szCs w:val="28"/>
          <w:highlight w:val="none"/>
        </w:rPr>
        <w:t>2019年，我国电子元件制造行业规模总资产达到12907.19亿元，行业销售收入为17362.32亿元。在机械类产品中，我国已经成为扬声器、铝电解电容器、显像管、印制电板、半导体分立器件等电子元器件的世界生产基地。在通信类产品中，移动通信、光通信网络、移动智能终端等都需要大量的元器件，消费电子产品等领域的需求依然强劲，国内外电子信息产业的迅猛发展给上游电子元器件产业带来了广阔的市场应用前景。在科技水平不断进步以及“中国制造2025”的背景下，下游市场对电子元器件的体积、功耗、响应速度、精度、功率、配套等要求不断提高。我国电子元器件行业在技术领域面临追赶国际先进水平的压力，也面临新一代电子信息技术发展的挑战。</w:t>
      </w:r>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3</w:t>
      </w:r>
      <w:r>
        <w:rPr>
          <w:b/>
          <w:bCs/>
          <w:color w:val="auto"/>
          <w:sz w:val="28"/>
          <w:szCs w:val="28"/>
          <w:highlight w:val="none"/>
          <w:lang w:val="en-GB"/>
        </w:rPr>
        <w:t>）发展趋势</w:t>
      </w:r>
    </w:p>
    <w:p>
      <w:pPr>
        <w:keepNext w:val="0"/>
        <w:keepLines w:val="0"/>
        <w:pageBreakBefore w:val="0"/>
        <w:widowControl w:val="0"/>
        <w:kinsoku/>
        <w:wordWrap/>
        <w:overflowPunct/>
        <w:topLinePunct w:val="0"/>
        <w:autoSpaceDE/>
        <w:autoSpaceDN/>
        <w:bidi w:val="0"/>
        <w:adjustRightInd w:val="0"/>
        <w:snapToGrid w:val="0"/>
        <w:spacing w:line="550" w:lineRule="exact"/>
        <w:ind w:firstLine="560"/>
        <w:textAlignment w:val="auto"/>
        <w:rPr>
          <w:color w:val="auto"/>
          <w:sz w:val="28"/>
          <w:szCs w:val="28"/>
          <w:highlight w:val="none"/>
        </w:rPr>
      </w:pPr>
      <w:r>
        <w:rPr>
          <w:color w:val="auto"/>
          <w:sz w:val="28"/>
          <w:szCs w:val="28"/>
          <w:highlight w:val="none"/>
        </w:rPr>
        <w:t>电子元器件呈现出向高频化、片式化、微型化、薄型化、低功耗、响应速率快、高分辨率、高精度、高功率、多功能、组件化、复合化、模块化、智能化等的发展趋势。同时产品的安全性、绿色化也是影响其发展前途和市场的重要因素。电子元器件由原来只为适应整机的小型化及新工艺要求为主的改进，变成以满足数字技术、微电子技术发展所提出的特性要求为主。</w:t>
      </w:r>
    </w:p>
    <w:p>
      <w:pPr>
        <w:keepNext w:val="0"/>
        <w:keepLines w:val="0"/>
        <w:pageBreakBefore w:val="0"/>
        <w:widowControl w:val="0"/>
        <w:kinsoku/>
        <w:wordWrap/>
        <w:overflowPunct/>
        <w:topLinePunct w:val="0"/>
        <w:autoSpaceDE/>
        <w:autoSpaceDN/>
        <w:bidi w:val="0"/>
        <w:spacing w:line="550" w:lineRule="exact"/>
        <w:ind w:firstLine="562"/>
        <w:textAlignment w:val="auto"/>
        <w:outlineLvl w:val="0"/>
        <w:rPr>
          <w:rFonts w:eastAsia="黑体"/>
          <w:b/>
          <w:color w:val="auto"/>
          <w:sz w:val="28"/>
          <w:szCs w:val="28"/>
          <w:highlight w:val="none"/>
        </w:rPr>
      </w:pPr>
      <w:bookmarkStart w:id="220" w:name="_Toc63181222"/>
      <w:bookmarkStart w:id="221" w:name="_Toc88257179"/>
      <w:bookmarkStart w:id="222" w:name="_Toc12434"/>
      <w:bookmarkStart w:id="223" w:name="_Toc28121"/>
      <w:bookmarkStart w:id="224" w:name="_Toc1157934912"/>
      <w:r>
        <w:rPr>
          <w:rFonts w:eastAsia="黑体"/>
          <w:b/>
          <w:color w:val="auto"/>
          <w:sz w:val="28"/>
          <w:szCs w:val="28"/>
          <w:highlight w:val="none"/>
        </w:rPr>
        <w:t>附件9：物联网产业选择依据和发展现状</w:t>
      </w:r>
      <w:bookmarkEnd w:id="220"/>
      <w:bookmarkEnd w:id="221"/>
      <w:bookmarkEnd w:id="222"/>
      <w:bookmarkEnd w:id="223"/>
      <w:bookmarkEnd w:id="224"/>
    </w:p>
    <w:p>
      <w:pPr>
        <w:keepNext w:val="0"/>
        <w:keepLines w:val="0"/>
        <w:pageBreakBefore w:val="0"/>
        <w:widowControl w:val="0"/>
        <w:kinsoku/>
        <w:wordWrap/>
        <w:overflowPunct/>
        <w:topLinePunct w:val="0"/>
        <w:autoSpaceDE/>
        <w:autoSpaceDN/>
        <w:bidi w:val="0"/>
        <w:spacing w:line="550" w:lineRule="exact"/>
        <w:ind w:firstLine="562"/>
        <w:textAlignment w:val="auto"/>
        <w:outlineLvl w:val="3"/>
        <w:rPr>
          <w:b/>
          <w:bCs/>
          <w:color w:val="auto"/>
          <w:sz w:val="28"/>
          <w:szCs w:val="28"/>
          <w:highlight w:val="none"/>
        </w:rPr>
      </w:pPr>
      <w:r>
        <w:rPr>
          <w:b/>
          <w:bCs/>
          <w:color w:val="auto"/>
          <w:sz w:val="28"/>
          <w:szCs w:val="28"/>
          <w:highlight w:val="none"/>
          <w:lang w:val="en-GB"/>
        </w:rPr>
        <w:t>（1）</w:t>
      </w:r>
      <w:r>
        <w:rPr>
          <w:b/>
          <w:bCs/>
          <w:color w:val="auto"/>
          <w:sz w:val="28"/>
          <w:szCs w:val="28"/>
          <w:highlight w:val="none"/>
        </w:rPr>
        <w:t>选择依据</w:t>
      </w:r>
    </w:p>
    <w:p>
      <w:pPr>
        <w:keepNext w:val="0"/>
        <w:keepLines w:val="0"/>
        <w:pageBreakBefore w:val="0"/>
        <w:widowControl w:val="0"/>
        <w:kinsoku/>
        <w:wordWrap/>
        <w:overflowPunct/>
        <w:topLinePunct w:val="0"/>
        <w:autoSpaceDE/>
        <w:autoSpaceDN/>
        <w:bidi w:val="0"/>
        <w:adjustRightInd w:val="0"/>
        <w:snapToGrid w:val="0"/>
        <w:spacing w:line="550" w:lineRule="exact"/>
        <w:ind w:firstLine="560"/>
        <w:textAlignment w:val="auto"/>
        <w:rPr>
          <w:color w:val="auto"/>
          <w:sz w:val="28"/>
          <w:szCs w:val="28"/>
          <w:highlight w:val="none"/>
        </w:rPr>
      </w:pPr>
      <w:r>
        <w:rPr>
          <w:color w:val="auto"/>
          <w:sz w:val="28"/>
          <w:szCs w:val="28"/>
          <w:highlight w:val="none"/>
        </w:rPr>
        <w:t>物联网是继计算机、互联网之后信息发展的第三次浪潮，新型基础设施的加速建设，数以万亿级的新设备将接入网络并产生海量数据，人工智能、边缘计算、区块链等新技术加速与物联网结合，应用热点迭起，物联网迎来跨界融合、集成创新和规模化发展的新阶段，物联网在各行业数字化变革中的赋能作用显现。全球互联网企业、通信企业、IT服务商、垂直行业领军企业对物联网的重视程度持续提升，其逐渐成为互联网企业新一轮战略的重要支撑。</w:t>
      </w:r>
    </w:p>
    <w:p>
      <w:pPr>
        <w:keepNext w:val="0"/>
        <w:keepLines w:val="0"/>
        <w:pageBreakBefore w:val="0"/>
        <w:widowControl w:val="0"/>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2</w:t>
      </w:r>
      <w:r>
        <w:rPr>
          <w:b/>
          <w:bCs/>
          <w:color w:val="auto"/>
          <w:sz w:val="28"/>
          <w:szCs w:val="28"/>
          <w:highlight w:val="none"/>
          <w:lang w:val="en-GB"/>
        </w:rPr>
        <w:t>）发展现状</w:t>
      </w:r>
    </w:p>
    <w:p>
      <w:pPr>
        <w:keepNext w:val="0"/>
        <w:keepLines w:val="0"/>
        <w:pageBreakBefore w:val="0"/>
        <w:widowControl w:val="0"/>
        <w:kinsoku/>
        <w:wordWrap/>
        <w:overflowPunct/>
        <w:topLinePunct w:val="0"/>
        <w:autoSpaceDE/>
        <w:autoSpaceDN/>
        <w:bidi w:val="0"/>
        <w:adjustRightInd w:val="0"/>
        <w:snapToGrid w:val="0"/>
        <w:spacing w:line="550" w:lineRule="exact"/>
        <w:ind w:firstLine="560"/>
        <w:textAlignment w:val="auto"/>
        <w:rPr>
          <w:bCs/>
          <w:color w:val="auto"/>
          <w:kern w:val="0"/>
          <w:sz w:val="28"/>
          <w:szCs w:val="28"/>
          <w:highlight w:val="none"/>
        </w:rPr>
      </w:pPr>
      <w:r>
        <w:rPr>
          <w:color w:val="auto"/>
          <w:sz w:val="28"/>
          <w:szCs w:val="28"/>
          <w:highlight w:val="none"/>
        </w:rPr>
        <w:t>截至2019年9月，全球有57个国家至少114个运营商部署了NB-IoT或eMTC，有72个国家的153家运营商在积极投资NB-IoT网络，NB-IoT成为满足5G大规模机器连接（mMTC）场景需求的技术标准。根据Gartner预测，2020年全球物联网设备数量将达到260亿个，物联网市场规模将达到1.9万亿美元。</w:t>
      </w:r>
      <w:r>
        <w:rPr>
          <w:bCs/>
          <w:color w:val="auto"/>
          <w:kern w:val="0"/>
          <w:sz w:val="28"/>
          <w:szCs w:val="28"/>
          <w:highlight w:val="none"/>
        </w:rPr>
        <w:t>随着5G网络的建设，物联网承载的数据量将实现指数级增长，并逐步从数据搜集转向数据应用、远程控制等深度物联网应用。从需求端来，政策性驱动物联网（智慧城市等）、生产性物联网（智慧工厂、车联网、智慧农业）、消费性物联网（智能家居、智能穿戴等）需求都已陆续出现，部分场景已初步完成市场教育阶段，迎来大规模的扩张。诸如车联网、工业互联网等重度物联网场景也将在未来三年陆续落地。</w:t>
      </w:r>
    </w:p>
    <w:p>
      <w:pPr>
        <w:keepNext w:val="0"/>
        <w:keepLines w:val="0"/>
        <w:pageBreakBefore w:val="0"/>
        <w:widowControl w:val="0"/>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3</w:t>
      </w:r>
      <w:r>
        <w:rPr>
          <w:b/>
          <w:bCs/>
          <w:color w:val="auto"/>
          <w:sz w:val="28"/>
          <w:szCs w:val="28"/>
          <w:highlight w:val="none"/>
          <w:lang w:val="en-GB"/>
        </w:rPr>
        <w:t>）发展趋势</w:t>
      </w:r>
    </w:p>
    <w:p>
      <w:pPr>
        <w:keepNext w:val="0"/>
        <w:keepLines w:val="0"/>
        <w:pageBreakBefore w:val="0"/>
        <w:widowControl w:val="0"/>
        <w:kinsoku/>
        <w:wordWrap/>
        <w:overflowPunct/>
        <w:topLinePunct w:val="0"/>
        <w:autoSpaceDE/>
        <w:autoSpaceDN/>
        <w:bidi w:val="0"/>
        <w:adjustRightInd w:val="0"/>
        <w:snapToGrid w:val="0"/>
        <w:spacing w:line="550" w:lineRule="exact"/>
        <w:ind w:firstLine="560"/>
        <w:textAlignment w:val="auto"/>
        <w:rPr>
          <w:color w:val="auto"/>
          <w:sz w:val="28"/>
          <w:szCs w:val="28"/>
          <w:highlight w:val="none"/>
        </w:rPr>
      </w:pPr>
      <w:r>
        <w:rPr>
          <w:color w:val="auto"/>
          <w:sz w:val="28"/>
          <w:szCs w:val="28"/>
          <w:highlight w:val="none"/>
        </w:rPr>
        <w:t>我国物联网发展正在经历单点发力向生态体系转变、简单应用向高端应用转变、政府投入向市场主导转变的关键时期，呈现三方面发展趋势：一是国内领军企业纷纷布局物联网产业生态。华为、百度、阿里巴巴、腾讯、中国移动、三一重工、海尔等国内骨干企业相继发布物联网战略，并通过开放物联网平台、操作系统等关键共性环节逐步构建物联网产业生态。二是行业应用和融合类消费应用环境逐步成熟。工业制造、农业、交通、能源等领域传统企业积极应用物联网技术实现不同环节的升级改造，涉及家居、安全、医疗健康、养老等民生领域的融合类消费应用广泛推进。三是智慧城市成为物联网发展重要驱动力。截至2019年9月我国智慧城市试点数量已经超过700个，为物联网技术提供综合集成应用平台，有力促进其规模化应用。</w:t>
      </w:r>
    </w:p>
    <w:p>
      <w:pPr>
        <w:keepNext w:val="0"/>
        <w:keepLines w:val="0"/>
        <w:pageBreakBefore w:val="0"/>
        <w:widowControl w:val="0"/>
        <w:kinsoku/>
        <w:wordWrap/>
        <w:overflowPunct/>
        <w:topLinePunct w:val="0"/>
        <w:autoSpaceDE/>
        <w:autoSpaceDN/>
        <w:bidi w:val="0"/>
        <w:spacing w:line="550" w:lineRule="exact"/>
        <w:ind w:firstLine="562"/>
        <w:textAlignment w:val="auto"/>
        <w:outlineLvl w:val="0"/>
        <w:rPr>
          <w:rFonts w:eastAsia="黑体"/>
          <w:b/>
          <w:color w:val="auto"/>
          <w:sz w:val="28"/>
          <w:szCs w:val="28"/>
          <w:highlight w:val="none"/>
        </w:rPr>
      </w:pPr>
      <w:bookmarkStart w:id="225" w:name="_Toc1632532215"/>
      <w:bookmarkStart w:id="226" w:name="_Toc88257180"/>
      <w:r>
        <w:rPr>
          <w:rFonts w:eastAsia="黑体"/>
          <w:b/>
          <w:color w:val="auto"/>
          <w:sz w:val="28"/>
          <w:szCs w:val="28"/>
          <w:highlight w:val="none"/>
        </w:rPr>
        <w:t>附件10：人工智能产业选择依据和发展现状</w:t>
      </w:r>
      <w:bookmarkEnd w:id="225"/>
      <w:bookmarkEnd w:id="226"/>
    </w:p>
    <w:p>
      <w:pPr>
        <w:keepNext w:val="0"/>
        <w:keepLines w:val="0"/>
        <w:pageBreakBefore w:val="0"/>
        <w:widowControl w:val="0"/>
        <w:kinsoku/>
        <w:wordWrap/>
        <w:overflowPunct/>
        <w:topLinePunct w:val="0"/>
        <w:autoSpaceDE/>
        <w:autoSpaceDN/>
        <w:bidi w:val="0"/>
        <w:spacing w:line="550" w:lineRule="exact"/>
        <w:ind w:firstLine="562"/>
        <w:textAlignment w:val="auto"/>
        <w:outlineLvl w:val="3"/>
        <w:rPr>
          <w:b/>
          <w:bCs/>
          <w:color w:val="auto"/>
          <w:sz w:val="28"/>
          <w:szCs w:val="28"/>
          <w:highlight w:val="none"/>
        </w:rPr>
      </w:pPr>
      <w:r>
        <w:rPr>
          <w:b/>
          <w:bCs/>
          <w:color w:val="auto"/>
          <w:sz w:val="28"/>
          <w:szCs w:val="28"/>
          <w:highlight w:val="none"/>
          <w:lang w:val="en-GB"/>
        </w:rPr>
        <w:t>（1）</w:t>
      </w:r>
      <w:r>
        <w:rPr>
          <w:b/>
          <w:bCs/>
          <w:color w:val="auto"/>
          <w:sz w:val="28"/>
          <w:szCs w:val="28"/>
          <w:highlight w:val="none"/>
        </w:rPr>
        <w:t>选择依据</w:t>
      </w:r>
    </w:p>
    <w:p>
      <w:pPr>
        <w:keepNext w:val="0"/>
        <w:keepLines w:val="0"/>
        <w:pageBreakBefore w:val="0"/>
        <w:widowControl w:val="0"/>
        <w:kinsoku/>
        <w:wordWrap/>
        <w:overflowPunct/>
        <w:topLinePunct w:val="0"/>
        <w:autoSpaceDE/>
        <w:autoSpaceDN/>
        <w:bidi w:val="0"/>
        <w:adjustRightInd w:val="0"/>
        <w:snapToGrid w:val="0"/>
        <w:spacing w:line="550" w:lineRule="exact"/>
        <w:ind w:firstLine="560"/>
        <w:textAlignment w:val="auto"/>
        <w:rPr>
          <w:rFonts w:eastAsia="仿宋"/>
          <w:color w:val="auto"/>
          <w:sz w:val="28"/>
          <w:szCs w:val="28"/>
          <w:highlight w:val="none"/>
          <w:lang w:val="en-GB"/>
        </w:rPr>
      </w:pPr>
      <w:r>
        <w:rPr>
          <w:rFonts w:eastAsia="仿宋"/>
          <w:color w:val="auto"/>
          <w:sz w:val="28"/>
          <w:szCs w:val="28"/>
          <w:highlight w:val="none"/>
          <w:lang w:val="en-GB"/>
        </w:rPr>
        <w:t>选择依据：新一轮技术创新和产业变革正在兴起，我国先后出台了《新一代人工智能发展规划》《促进新一代人工智能产业发展三年行动计划（2018-2020）》等系列文件，提到要重点发展人工智能等的新一代信息技术。人工智能具有显著的溢出效应，正在成为推进供给侧结构性改革的新动能和建设制造强国和网络强国的新引擎。</w:t>
      </w:r>
    </w:p>
    <w:p>
      <w:pPr>
        <w:keepNext w:val="0"/>
        <w:keepLines w:val="0"/>
        <w:pageBreakBefore w:val="0"/>
        <w:widowControl w:val="0"/>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2</w:t>
      </w:r>
      <w:r>
        <w:rPr>
          <w:b/>
          <w:bCs/>
          <w:color w:val="auto"/>
          <w:sz w:val="28"/>
          <w:szCs w:val="28"/>
          <w:highlight w:val="none"/>
          <w:lang w:val="en-GB"/>
        </w:rPr>
        <w:t>）发展现状</w:t>
      </w:r>
    </w:p>
    <w:p>
      <w:pPr>
        <w:keepNext w:val="0"/>
        <w:keepLines w:val="0"/>
        <w:pageBreakBefore w:val="0"/>
        <w:widowControl w:val="0"/>
        <w:kinsoku/>
        <w:wordWrap/>
        <w:overflowPunct/>
        <w:topLinePunct w:val="0"/>
        <w:autoSpaceDE/>
        <w:autoSpaceDN/>
        <w:bidi w:val="0"/>
        <w:adjustRightInd w:val="0"/>
        <w:snapToGrid w:val="0"/>
        <w:spacing w:line="550" w:lineRule="exact"/>
        <w:ind w:firstLine="560"/>
        <w:textAlignment w:val="auto"/>
        <w:rPr>
          <w:color w:val="auto"/>
          <w:sz w:val="28"/>
          <w:szCs w:val="28"/>
          <w:highlight w:val="none"/>
          <w:lang w:val="en-GB"/>
        </w:rPr>
      </w:pPr>
      <w:r>
        <w:rPr>
          <w:color w:val="auto"/>
          <w:sz w:val="28"/>
          <w:szCs w:val="28"/>
          <w:highlight w:val="none"/>
          <w:lang w:val="en-GB"/>
        </w:rPr>
        <w:t>当前，新一轮科技革命和产业变革正在萌发，算法的革新、计算能力的提升及网络设施的演进驱动人工智能发展进入新阶段，智能化成为技术和产业发展的重要方向。人工智能技术能够显著丰富电子信息产品和服务形态，提升高端产品供给水平，为电子信息产业开辟出规模巨大的新空间。当前，智能手机、智能电视等产品已成为市场主流，2017年我国智能手机产量占手机的比重达74.3%，智能电视占电视比重为63.4%。智能音箱、智能服务机器人、无人机、智能可穿戴设备、智能安防设备等新产品逐渐成熟和普及。国内中文信息处理、智能监控、生物特征识别、工业机器人、服务机器人、无人驾驶逐步进入实际应用，人工智能创新创业日益活跃，一批龙头骨干企业加速成长，加速积累的技术能力与海量的数据资源、巨大的应用需求、开放的市场环境有机结合，形成了人工智能发展的独特优势，并带来大量的市场机遇。</w:t>
      </w:r>
    </w:p>
    <w:p>
      <w:pPr>
        <w:keepNext w:val="0"/>
        <w:keepLines w:val="0"/>
        <w:pageBreakBefore w:val="0"/>
        <w:widowControl w:val="0"/>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3</w:t>
      </w:r>
      <w:r>
        <w:rPr>
          <w:b/>
          <w:bCs/>
          <w:color w:val="auto"/>
          <w:sz w:val="28"/>
          <w:szCs w:val="28"/>
          <w:highlight w:val="none"/>
          <w:lang w:val="en-GB"/>
        </w:rPr>
        <w:t>）发展趋势</w:t>
      </w:r>
    </w:p>
    <w:p>
      <w:pPr>
        <w:keepNext w:val="0"/>
        <w:keepLines w:val="0"/>
        <w:pageBreakBefore w:val="0"/>
        <w:widowControl w:val="0"/>
        <w:kinsoku/>
        <w:wordWrap/>
        <w:overflowPunct/>
        <w:topLinePunct w:val="0"/>
        <w:autoSpaceDE/>
        <w:autoSpaceDN/>
        <w:bidi w:val="0"/>
        <w:adjustRightInd w:val="0"/>
        <w:snapToGrid w:val="0"/>
        <w:spacing w:line="550" w:lineRule="exact"/>
        <w:ind w:firstLine="562"/>
        <w:textAlignment w:val="auto"/>
        <w:rPr>
          <w:color w:val="auto"/>
          <w:sz w:val="28"/>
          <w:szCs w:val="28"/>
          <w:highlight w:val="none"/>
          <w:lang w:val="en-GB"/>
        </w:rPr>
      </w:pPr>
      <w:r>
        <w:rPr>
          <w:b/>
          <w:bCs/>
          <w:color w:val="auto"/>
          <w:sz w:val="28"/>
          <w:szCs w:val="28"/>
          <w:highlight w:val="none"/>
          <w:lang w:val="en-GB"/>
        </w:rPr>
        <w:t>技术更新迭代周期加快</w:t>
      </w:r>
      <w:r>
        <w:rPr>
          <w:color w:val="auto"/>
          <w:sz w:val="28"/>
          <w:szCs w:val="28"/>
          <w:highlight w:val="none"/>
          <w:lang w:val="en-GB"/>
        </w:rPr>
        <w:t>。人工智能技术快速发展，导致市场的竞争更加激烈，为了抢占市场、追求高额利润，大公司将会不断并购拥有核心技术的中小公司。因此，中小公司的创新技术会不断地整合到大公司的平台，智力资源不断汇集，促进人工智能核心技术的研究重点将从深度学习转为认知计算，推动弱人工智能向强人工智能转变。</w:t>
      </w:r>
    </w:p>
    <w:p>
      <w:pPr>
        <w:keepNext w:val="0"/>
        <w:keepLines w:val="0"/>
        <w:pageBreakBefore w:val="0"/>
        <w:widowControl w:val="0"/>
        <w:kinsoku/>
        <w:wordWrap/>
        <w:overflowPunct/>
        <w:topLinePunct w:val="0"/>
        <w:autoSpaceDE/>
        <w:autoSpaceDN/>
        <w:bidi w:val="0"/>
        <w:adjustRightInd w:val="0"/>
        <w:snapToGrid w:val="0"/>
        <w:spacing w:line="550" w:lineRule="exact"/>
        <w:ind w:firstLine="562"/>
        <w:textAlignment w:val="auto"/>
        <w:rPr>
          <w:color w:val="auto"/>
          <w:sz w:val="28"/>
          <w:szCs w:val="28"/>
          <w:highlight w:val="none"/>
          <w:lang w:val="en-GB"/>
        </w:rPr>
      </w:pPr>
      <w:r>
        <w:rPr>
          <w:b/>
          <w:bCs/>
          <w:color w:val="auto"/>
          <w:sz w:val="28"/>
          <w:szCs w:val="28"/>
          <w:highlight w:val="none"/>
          <w:lang w:val="en-GB"/>
        </w:rPr>
        <w:t>产业主体结构不断丰富</w:t>
      </w:r>
      <w:r>
        <w:rPr>
          <w:color w:val="auto"/>
          <w:sz w:val="28"/>
          <w:szCs w:val="28"/>
          <w:highlight w:val="none"/>
          <w:lang w:val="en-GB"/>
        </w:rPr>
        <w:t>。伴随大量的人工智能科研力量从高等院校向重点企业转移，人工智能核心技术的主要创新者和拥有者将有望实现从院校到科技企业的转变。另外，随着人工智能技术应用效果的不断显现，未来科技企业在人工智能技术创新中的主体地位将进一步加强，形成以企业为主、高校等科研机构为辅的人工智能创新主体结构。</w:t>
      </w:r>
    </w:p>
    <w:p>
      <w:pPr>
        <w:keepNext w:val="0"/>
        <w:keepLines w:val="0"/>
        <w:pageBreakBefore w:val="0"/>
        <w:widowControl w:val="0"/>
        <w:kinsoku/>
        <w:wordWrap/>
        <w:overflowPunct/>
        <w:topLinePunct w:val="0"/>
        <w:autoSpaceDE/>
        <w:autoSpaceDN/>
        <w:bidi w:val="0"/>
        <w:adjustRightInd w:val="0"/>
        <w:snapToGrid w:val="0"/>
        <w:spacing w:line="550" w:lineRule="exact"/>
        <w:ind w:firstLine="562"/>
        <w:textAlignment w:val="auto"/>
        <w:rPr>
          <w:color w:val="auto"/>
          <w:sz w:val="28"/>
          <w:szCs w:val="28"/>
          <w:highlight w:val="none"/>
          <w:lang w:val="en-GB"/>
        </w:rPr>
      </w:pPr>
      <w:r>
        <w:rPr>
          <w:b/>
          <w:bCs/>
          <w:color w:val="auto"/>
          <w:sz w:val="28"/>
          <w:szCs w:val="28"/>
          <w:highlight w:val="none"/>
          <w:lang w:val="en-GB"/>
        </w:rPr>
        <w:t>人工智能行业应用范围持续扩大</w:t>
      </w:r>
      <w:r>
        <w:rPr>
          <w:color w:val="auto"/>
          <w:sz w:val="28"/>
          <w:szCs w:val="28"/>
          <w:highlight w:val="none"/>
          <w:lang w:val="en-GB"/>
        </w:rPr>
        <w:t>。目前，人工智能已经在商贸、教育、医疗、金融等领域产生影响，随着生物识别技术、语音识别技术等先进技术的发展，人的姿势和语音等大量信息将被转换为数据进行识别和分析，人机互动将会得到大幅改善。因此，农业、制造业、交通和物流等更多传统产业也将会受到人工智能的影响。</w:t>
      </w:r>
    </w:p>
    <w:p>
      <w:pPr>
        <w:keepNext w:val="0"/>
        <w:keepLines w:val="0"/>
        <w:pageBreakBefore w:val="0"/>
        <w:widowControl w:val="0"/>
        <w:kinsoku/>
        <w:wordWrap/>
        <w:overflowPunct/>
        <w:topLinePunct w:val="0"/>
        <w:autoSpaceDE/>
        <w:autoSpaceDN/>
        <w:bidi w:val="0"/>
        <w:spacing w:line="550" w:lineRule="exact"/>
        <w:ind w:firstLine="562"/>
        <w:textAlignment w:val="auto"/>
        <w:outlineLvl w:val="0"/>
        <w:rPr>
          <w:rFonts w:eastAsia="黑体"/>
          <w:b/>
          <w:color w:val="auto"/>
          <w:sz w:val="28"/>
          <w:szCs w:val="28"/>
          <w:highlight w:val="none"/>
        </w:rPr>
      </w:pPr>
      <w:bookmarkStart w:id="227" w:name="_Toc8949"/>
      <w:bookmarkStart w:id="228" w:name="_Toc1367086197"/>
      <w:bookmarkStart w:id="229" w:name="_Toc88257181"/>
      <w:bookmarkStart w:id="230" w:name="_Toc63181224"/>
      <w:bookmarkStart w:id="231" w:name="_Toc11209"/>
      <w:r>
        <w:rPr>
          <w:rFonts w:eastAsia="黑体"/>
          <w:b/>
          <w:color w:val="auto"/>
          <w:sz w:val="28"/>
          <w:szCs w:val="28"/>
          <w:highlight w:val="none"/>
        </w:rPr>
        <w:t>附件11：云计算和大数据产业选择依据和发展现状</w:t>
      </w:r>
      <w:bookmarkEnd w:id="227"/>
      <w:bookmarkEnd w:id="228"/>
      <w:bookmarkEnd w:id="229"/>
      <w:bookmarkEnd w:id="230"/>
      <w:bookmarkEnd w:id="231"/>
    </w:p>
    <w:p>
      <w:pPr>
        <w:keepNext w:val="0"/>
        <w:keepLines w:val="0"/>
        <w:pageBreakBefore w:val="0"/>
        <w:widowControl w:val="0"/>
        <w:kinsoku/>
        <w:wordWrap/>
        <w:overflowPunct/>
        <w:topLinePunct w:val="0"/>
        <w:autoSpaceDE/>
        <w:autoSpaceDN/>
        <w:bidi w:val="0"/>
        <w:spacing w:line="550" w:lineRule="exact"/>
        <w:ind w:firstLine="562"/>
        <w:textAlignment w:val="auto"/>
        <w:outlineLvl w:val="3"/>
        <w:rPr>
          <w:b/>
          <w:bCs/>
          <w:color w:val="auto"/>
          <w:sz w:val="28"/>
          <w:szCs w:val="28"/>
          <w:highlight w:val="none"/>
        </w:rPr>
      </w:pPr>
      <w:r>
        <w:rPr>
          <w:b/>
          <w:bCs/>
          <w:color w:val="auto"/>
          <w:sz w:val="28"/>
          <w:szCs w:val="28"/>
          <w:highlight w:val="none"/>
          <w:lang w:val="en-GB"/>
        </w:rPr>
        <w:t>（1）</w:t>
      </w:r>
      <w:r>
        <w:rPr>
          <w:b/>
          <w:bCs/>
          <w:color w:val="auto"/>
          <w:sz w:val="28"/>
          <w:szCs w:val="28"/>
          <w:highlight w:val="none"/>
        </w:rPr>
        <w:t>选择依据</w:t>
      </w:r>
    </w:p>
    <w:p>
      <w:pPr>
        <w:keepNext w:val="0"/>
        <w:keepLines w:val="0"/>
        <w:pageBreakBefore w:val="0"/>
        <w:widowControl w:val="0"/>
        <w:kinsoku/>
        <w:wordWrap/>
        <w:overflowPunct/>
        <w:topLinePunct w:val="0"/>
        <w:autoSpaceDE/>
        <w:autoSpaceDN/>
        <w:bidi w:val="0"/>
        <w:adjustRightInd w:val="0"/>
        <w:snapToGrid w:val="0"/>
        <w:spacing w:line="550" w:lineRule="exact"/>
        <w:ind w:firstLine="560"/>
        <w:textAlignment w:val="auto"/>
        <w:rPr>
          <w:rFonts w:eastAsia="仿宋"/>
          <w:color w:val="auto"/>
          <w:sz w:val="28"/>
          <w:szCs w:val="28"/>
          <w:highlight w:val="none"/>
          <w:lang w:val="en-GB"/>
        </w:rPr>
      </w:pPr>
      <w:r>
        <w:rPr>
          <w:rFonts w:eastAsia="仿宋"/>
          <w:color w:val="auto"/>
          <w:sz w:val="28"/>
          <w:szCs w:val="28"/>
          <w:highlight w:val="none"/>
          <w:lang w:val="en-GB"/>
        </w:rPr>
        <w:t>云计算作为新型基础设施的核心环节，是互联网、大数据、人工智能等新技术的关键底座，已经成为推动传统产业数字化转型、支撑数字经济发展的重要力量，推动着大数据赋能传统产业转型升级，催生数字经济新业态、新模式的动能持续释放。</w:t>
      </w:r>
    </w:p>
    <w:p>
      <w:pPr>
        <w:keepNext w:val="0"/>
        <w:keepLines w:val="0"/>
        <w:pageBreakBefore w:val="0"/>
        <w:widowControl w:val="0"/>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2</w:t>
      </w:r>
      <w:r>
        <w:rPr>
          <w:b/>
          <w:bCs/>
          <w:color w:val="auto"/>
          <w:sz w:val="28"/>
          <w:szCs w:val="28"/>
          <w:highlight w:val="none"/>
          <w:lang w:val="en-GB"/>
        </w:rPr>
        <w:t>）发展现状</w:t>
      </w:r>
    </w:p>
    <w:p>
      <w:pPr>
        <w:keepNext w:val="0"/>
        <w:keepLines w:val="0"/>
        <w:pageBreakBefore w:val="0"/>
        <w:widowControl w:val="0"/>
        <w:kinsoku/>
        <w:wordWrap/>
        <w:overflowPunct/>
        <w:topLinePunct w:val="0"/>
        <w:autoSpaceDE/>
        <w:autoSpaceDN/>
        <w:bidi w:val="0"/>
        <w:spacing w:line="550" w:lineRule="exact"/>
        <w:ind w:firstLine="562"/>
        <w:textAlignment w:val="auto"/>
        <w:rPr>
          <w:color w:val="auto"/>
          <w:sz w:val="28"/>
          <w:szCs w:val="28"/>
          <w:highlight w:val="none"/>
          <w:lang w:val="en-GB"/>
        </w:rPr>
      </w:pPr>
      <w:r>
        <w:rPr>
          <w:b/>
          <w:color w:val="auto"/>
          <w:sz w:val="28"/>
          <w:szCs w:val="28"/>
          <w:highlight w:val="none"/>
          <w:lang w:val="en-GB"/>
        </w:rPr>
        <w:t>产业规模持续高速增长。</w:t>
      </w:r>
      <w:r>
        <w:rPr>
          <w:color w:val="auto"/>
          <w:sz w:val="28"/>
          <w:szCs w:val="28"/>
          <w:highlight w:val="none"/>
          <w:lang w:val="en-GB"/>
        </w:rPr>
        <w:t>近年来，我国云计算产业规模保持着超过30％的年均增长率，是全球增速最快的市场之一。据赛迪研究院数据，2019年，我国云计算市场规模达到1334亿元，其中公有云市场规模达到689亿元，私有云市场规模达到645亿元，预计未来四年仍将保持快速增长的态势。云计算产业链条趋于完善，产业生态日益繁荣，形成了从基础软硬件到咨询、建设、迁移、运维、安全等全流程的产业链。</w:t>
      </w:r>
    </w:p>
    <w:p>
      <w:pPr>
        <w:keepNext w:val="0"/>
        <w:keepLines w:val="0"/>
        <w:pageBreakBefore w:val="0"/>
        <w:widowControl w:val="0"/>
        <w:kinsoku/>
        <w:wordWrap/>
        <w:overflowPunct/>
        <w:topLinePunct w:val="0"/>
        <w:autoSpaceDE/>
        <w:autoSpaceDN/>
        <w:bidi w:val="0"/>
        <w:spacing w:line="550" w:lineRule="exact"/>
        <w:ind w:firstLine="562"/>
        <w:textAlignment w:val="auto"/>
        <w:rPr>
          <w:color w:val="auto"/>
          <w:sz w:val="28"/>
          <w:szCs w:val="28"/>
          <w:highlight w:val="none"/>
          <w:lang w:val="en-GB"/>
        </w:rPr>
      </w:pPr>
      <w:r>
        <w:rPr>
          <w:b/>
          <w:color w:val="auto"/>
          <w:sz w:val="28"/>
          <w:szCs w:val="28"/>
          <w:highlight w:val="none"/>
          <w:lang w:val="en-GB"/>
        </w:rPr>
        <w:t>核心技术取得突破性进展。</w:t>
      </w:r>
      <w:r>
        <w:rPr>
          <w:color w:val="auto"/>
          <w:sz w:val="28"/>
          <w:szCs w:val="28"/>
          <w:highlight w:val="none"/>
          <w:lang w:val="en-GB"/>
        </w:rPr>
        <w:t>我国在云计算相关软硬件设备、支撑平台等方面突破了一批关键技术，部分核心技术达到国际先进水平。例如，阿里云的单集群服务器规模达到上万台，数据处理能力达到EB级，支撑金融支付业务等并发业务峰值达到世界领先水平，有效解决了12306网站购票高峰瘫痪等问题。</w:t>
      </w:r>
    </w:p>
    <w:p>
      <w:pPr>
        <w:keepNext w:val="0"/>
        <w:keepLines w:val="0"/>
        <w:pageBreakBefore w:val="0"/>
        <w:widowControl w:val="0"/>
        <w:kinsoku/>
        <w:wordWrap/>
        <w:overflowPunct/>
        <w:topLinePunct w:val="0"/>
        <w:autoSpaceDE/>
        <w:autoSpaceDN/>
        <w:bidi w:val="0"/>
        <w:spacing w:line="550" w:lineRule="exact"/>
        <w:ind w:firstLine="562"/>
        <w:textAlignment w:val="auto"/>
        <w:rPr>
          <w:color w:val="auto"/>
          <w:sz w:val="28"/>
          <w:szCs w:val="28"/>
          <w:highlight w:val="none"/>
          <w:lang w:val="en-GB"/>
        </w:rPr>
      </w:pPr>
      <w:r>
        <w:rPr>
          <w:b/>
          <w:color w:val="auto"/>
          <w:sz w:val="28"/>
          <w:szCs w:val="28"/>
          <w:highlight w:val="none"/>
          <w:lang w:val="en-GB"/>
        </w:rPr>
        <w:t>骨干企业加速成长。</w:t>
      </w:r>
      <w:r>
        <w:rPr>
          <w:color w:val="auto"/>
          <w:sz w:val="28"/>
          <w:szCs w:val="28"/>
          <w:highlight w:val="none"/>
          <w:lang w:val="en-GB"/>
        </w:rPr>
        <w:t>云计算的广阔发展前景吸引相关企业加快战略布局，阿里、腾讯、华为、百度、浪潮、京东、网易等多家骨干企业依托自身优势，发布各具特色的云计算战略和产品，技术水平和服务能力显著提升，同时，围绕咨询设计、应用开发、运维服务、人才培训等环节发展合作伙伴，积极构建产业生态。随着竞争力不断加强，云计算骨干企业开始拓展海外业务，上线海外云计算服务节点，加速推进国际市场布局，为中国企业国际化发展提供了有力支撑。</w:t>
      </w:r>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3</w:t>
      </w:r>
      <w:r>
        <w:rPr>
          <w:b/>
          <w:bCs/>
          <w:color w:val="auto"/>
          <w:sz w:val="28"/>
          <w:szCs w:val="28"/>
          <w:highlight w:val="none"/>
          <w:lang w:val="en-GB"/>
        </w:rPr>
        <w:t>）发展趋势</w:t>
      </w:r>
    </w:p>
    <w:p>
      <w:pPr>
        <w:keepNext w:val="0"/>
        <w:keepLines w:val="0"/>
        <w:pageBreakBefore w:val="0"/>
        <w:widowControl/>
        <w:kinsoku/>
        <w:wordWrap/>
        <w:overflowPunct/>
        <w:topLinePunct w:val="0"/>
        <w:autoSpaceDE/>
        <w:autoSpaceDN/>
        <w:bidi w:val="0"/>
        <w:spacing w:line="550" w:lineRule="exact"/>
        <w:ind w:firstLine="562"/>
        <w:textAlignment w:val="auto"/>
        <w:rPr>
          <w:color w:val="auto"/>
          <w:sz w:val="28"/>
          <w:szCs w:val="28"/>
          <w:highlight w:val="none"/>
          <w:lang w:val="en-GB"/>
        </w:rPr>
      </w:pPr>
      <w:r>
        <w:rPr>
          <w:b/>
          <w:color w:val="auto"/>
          <w:sz w:val="28"/>
          <w:szCs w:val="28"/>
          <w:highlight w:val="none"/>
          <w:lang w:val="en-GB"/>
        </w:rPr>
        <w:t>应用领域更加普及广泛。</w:t>
      </w:r>
      <w:r>
        <w:rPr>
          <w:color w:val="auto"/>
          <w:sz w:val="28"/>
          <w:szCs w:val="28"/>
          <w:highlight w:val="none"/>
          <w:lang w:val="en-GB"/>
        </w:rPr>
        <w:t>一方面，云计算已成为支撑互联网行业发展的重要基础设施。目前，我国大部分网站、电子商务平台、移动APP、视频直播、网络游戏均由云计算提供后台基础保障服务。另一方面，云计算为传统产业转型升级赋能，在制造业、政务、金融、医疗、教育、企业管理等诸多领域广泛应用，助推“互联网+”战略深入实施。在政务领域，陕西、浙江、贵州等地建设了基于云计算的电子政务公共平台，不仅有效减少了重复浪费，也促进了政务信息的整合共享和业务协同，推动了政府管理和服务模式创新，提升了社会治理能力。在工业领域，海尔、沈阳机床、创维、金立、必康制药等企业利用云计算发展智能制造，提升了生产效率和服务质量。</w:t>
      </w:r>
    </w:p>
    <w:p>
      <w:pPr>
        <w:keepNext w:val="0"/>
        <w:keepLines w:val="0"/>
        <w:pageBreakBefore w:val="0"/>
        <w:widowControl/>
        <w:kinsoku/>
        <w:wordWrap/>
        <w:overflowPunct/>
        <w:topLinePunct w:val="0"/>
        <w:autoSpaceDE/>
        <w:autoSpaceDN/>
        <w:bidi w:val="0"/>
        <w:spacing w:line="550" w:lineRule="exact"/>
        <w:ind w:firstLine="562"/>
        <w:textAlignment w:val="auto"/>
        <w:rPr>
          <w:color w:val="auto"/>
          <w:sz w:val="28"/>
          <w:szCs w:val="28"/>
          <w:highlight w:val="none"/>
          <w:lang w:val="en-GB"/>
        </w:rPr>
      </w:pPr>
      <w:r>
        <w:rPr>
          <w:b/>
          <w:color w:val="auto"/>
          <w:sz w:val="28"/>
          <w:szCs w:val="28"/>
          <w:highlight w:val="none"/>
          <w:lang w:val="en-GB"/>
        </w:rPr>
        <w:t>助推新技术加快发展。</w:t>
      </w:r>
      <w:r>
        <w:rPr>
          <w:color w:val="auto"/>
          <w:sz w:val="28"/>
          <w:szCs w:val="28"/>
          <w:highlight w:val="none"/>
          <w:lang w:val="en-GB"/>
        </w:rPr>
        <w:t>云计算为大数据、人工智能等新兴技术提供了便捷的部署方式，加快了新技术应用普及，同时，新技术也丰富了云服务的内容，进一步带动云计算产业发展。例如，阿里云“数加”大数据平台提供数据采集、数据加工、数据分析、数据可视化、数据应用等服务，还发布了旨在解决“城市病”的“城市大脑”和服务智能制造的“工业大脑”。百度云推出“天算”、“天工”、“天智”平台，分别提供大数据、物联网和人工智能服务能力。</w:t>
      </w:r>
    </w:p>
    <w:p>
      <w:pPr>
        <w:keepNext w:val="0"/>
        <w:keepLines w:val="0"/>
        <w:pageBreakBefore w:val="0"/>
        <w:widowControl/>
        <w:kinsoku/>
        <w:wordWrap/>
        <w:overflowPunct/>
        <w:topLinePunct w:val="0"/>
        <w:autoSpaceDE/>
        <w:autoSpaceDN/>
        <w:bidi w:val="0"/>
        <w:spacing w:line="550" w:lineRule="exact"/>
        <w:ind w:firstLine="562"/>
        <w:textAlignment w:val="auto"/>
        <w:outlineLvl w:val="0"/>
        <w:rPr>
          <w:rFonts w:eastAsia="黑体"/>
          <w:b/>
          <w:color w:val="auto"/>
          <w:sz w:val="28"/>
          <w:szCs w:val="28"/>
          <w:highlight w:val="none"/>
        </w:rPr>
      </w:pPr>
      <w:bookmarkStart w:id="232" w:name="_Toc88257182"/>
      <w:bookmarkStart w:id="233" w:name="_Toc28642"/>
      <w:bookmarkStart w:id="234" w:name="_Toc63181225"/>
      <w:bookmarkStart w:id="235" w:name="_Toc31281"/>
      <w:bookmarkStart w:id="236" w:name="_Toc1724918585"/>
      <w:r>
        <w:rPr>
          <w:rFonts w:eastAsia="黑体"/>
          <w:b/>
          <w:color w:val="auto"/>
          <w:sz w:val="28"/>
          <w:szCs w:val="28"/>
          <w:highlight w:val="none"/>
        </w:rPr>
        <w:t>附件12：工业互联网产业选择依据和发展现状</w:t>
      </w:r>
      <w:bookmarkEnd w:id="232"/>
      <w:bookmarkEnd w:id="233"/>
      <w:bookmarkEnd w:id="234"/>
      <w:bookmarkEnd w:id="235"/>
      <w:bookmarkEnd w:id="236"/>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rPr>
      </w:pPr>
      <w:r>
        <w:rPr>
          <w:b/>
          <w:bCs/>
          <w:color w:val="auto"/>
          <w:sz w:val="28"/>
          <w:szCs w:val="28"/>
          <w:highlight w:val="none"/>
          <w:lang w:val="en-GB"/>
        </w:rPr>
        <w:t>（1）</w:t>
      </w:r>
      <w:r>
        <w:rPr>
          <w:b/>
          <w:bCs/>
          <w:color w:val="auto"/>
          <w:sz w:val="28"/>
          <w:szCs w:val="28"/>
          <w:highlight w:val="none"/>
        </w:rPr>
        <w:t>选择依据</w:t>
      </w:r>
    </w:p>
    <w:p>
      <w:pPr>
        <w:keepNext w:val="0"/>
        <w:keepLines w:val="0"/>
        <w:pageBreakBefore w:val="0"/>
        <w:widowControl/>
        <w:kinsoku/>
        <w:wordWrap/>
        <w:overflowPunct/>
        <w:topLinePunct w:val="0"/>
        <w:autoSpaceDE/>
        <w:autoSpaceDN/>
        <w:bidi w:val="0"/>
        <w:adjustRightInd w:val="0"/>
        <w:snapToGrid w:val="0"/>
        <w:spacing w:line="550" w:lineRule="exact"/>
        <w:ind w:firstLine="560"/>
        <w:textAlignment w:val="auto"/>
        <w:rPr>
          <w:color w:val="auto"/>
          <w:sz w:val="28"/>
          <w:szCs w:val="28"/>
          <w:highlight w:val="none"/>
        </w:rPr>
      </w:pPr>
      <w:r>
        <w:rPr>
          <w:color w:val="auto"/>
          <w:sz w:val="28"/>
          <w:szCs w:val="28"/>
          <w:highlight w:val="none"/>
        </w:rPr>
        <w:t>在传统生产过程中，由于收集、存储、传输、分析等能力限制，数据始终作为企业业务流程的附属产品存在，其价值一直无法被深入挖掘。随着信息技术的飞速发展，识别、计量与管理海量数据的算法、算力不断完善，数据的价值被充分释放，逐渐成为企业重要的生产要素。企业可基于工业互联网开展数字化管理，打通研发、生产、管理、服务等环节，实现设备、车间、物流等数据的泛在采集，推动全生命周期、全要素、全产业链、全价值链的有效链接，打造状态感知、实时分析、科学决策、精准执行的数据流动闭环，辅助企业进行智能决策，显著提升企业风险的感知、预测、防范能力。</w:t>
      </w:r>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2</w:t>
      </w:r>
      <w:r>
        <w:rPr>
          <w:b/>
          <w:bCs/>
          <w:color w:val="auto"/>
          <w:sz w:val="28"/>
          <w:szCs w:val="28"/>
          <w:highlight w:val="none"/>
          <w:lang w:val="en-GB"/>
        </w:rPr>
        <w:t>）发展现状</w:t>
      </w:r>
    </w:p>
    <w:p>
      <w:pPr>
        <w:keepNext w:val="0"/>
        <w:keepLines w:val="0"/>
        <w:pageBreakBefore w:val="0"/>
        <w:widowControl/>
        <w:kinsoku/>
        <w:wordWrap/>
        <w:overflowPunct/>
        <w:topLinePunct w:val="0"/>
        <w:autoSpaceDE/>
        <w:autoSpaceDN/>
        <w:bidi w:val="0"/>
        <w:adjustRightInd w:val="0"/>
        <w:snapToGrid w:val="0"/>
        <w:spacing w:line="550" w:lineRule="exact"/>
        <w:ind w:firstLine="560"/>
        <w:textAlignment w:val="auto"/>
        <w:rPr>
          <w:color w:val="auto"/>
          <w:sz w:val="28"/>
          <w:szCs w:val="28"/>
          <w:highlight w:val="none"/>
        </w:rPr>
      </w:pPr>
      <w:r>
        <w:rPr>
          <w:color w:val="auto"/>
          <w:sz w:val="28"/>
          <w:szCs w:val="28"/>
          <w:highlight w:val="none"/>
        </w:rPr>
        <w:t>我国工业互联网发展加快从概念普及进入到实践深耕阶段。一是网络支撑能力持续增强。广覆盖、高可靠的工业互联网网络体系加快建设，基础电信企业加快促进网路演进升级，工业企业加快运用TSN、SDN、5G等新技术改造企业内网。五大国家顶级节点系统功能逐步完备。标识解析体系初具规模，45个二级节点上线运营，标识注册量突破20亿。二是平台赋能水平显著提升。能力多样、特色鲜明的工业互联网平台体系逐渐成形，具备一定行业、区域影响力的平台储量超过50家，重点平台平均工业设备连接数已突破65万台（套），工业App数量达到1950个，涵盖细分行业达百余个。三是融合应用程度不断深化。工业互联网加快与实体经济特别是制造业的深度融合，已渗透应用到了钢铁、机械、航空航天、家电等多个行业，有力促进制造业数字化转型，实现提质降本增效，部分先进先试企业劳动生产率提高20%以上。</w:t>
      </w:r>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3</w:t>
      </w:r>
      <w:r>
        <w:rPr>
          <w:b/>
          <w:bCs/>
          <w:color w:val="auto"/>
          <w:sz w:val="28"/>
          <w:szCs w:val="28"/>
          <w:highlight w:val="none"/>
          <w:lang w:val="en-GB"/>
        </w:rPr>
        <w:t>）发展趋势</w:t>
      </w:r>
    </w:p>
    <w:p>
      <w:pPr>
        <w:keepNext w:val="0"/>
        <w:keepLines w:val="0"/>
        <w:pageBreakBefore w:val="0"/>
        <w:widowControl/>
        <w:kinsoku/>
        <w:wordWrap/>
        <w:overflowPunct/>
        <w:topLinePunct w:val="0"/>
        <w:autoSpaceDE/>
        <w:autoSpaceDN/>
        <w:bidi w:val="0"/>
        <w:adjustRightInd w:val="0"/>
        <w:snapToGrid w:val="0"/>
        <w:spacing w:line="550" w:lineRule="exact"/>
        <w:ind w:firstLine="560"/>
        <w:textAlignment w:val="auto"/>
        <w:rPr>
          <w:color w:val="auto"/>
          <w:sz w:val="28"/>
          <w:szCs w:val="28"/>
          <w:highlight w:val="none"/>
        </w:rPr>
      </w:pPr>
      <w:r>
        <w:rPr>
          <w:color w:val="auto"/>
          <w:sz w:val="28"/>
          <w:szCs w:val="28"/>
          <w:highlight w:val="none"/>
        </w:rPr>
        <w:t>新一代信息技术与工业互联网平台加速融合发展，将从简单到复杂、由单点聚焦到全面开花，衍生出更多新模式新业态，加速融合创新应用落地，推动新一代信息技术与制造业的深度融合。伴随着工业互联网创新发展，平台模式创新能力、工业设备上云能力、数字化管理能力、试验测试能力以及重点领域公共服务能力将得到大幅提升，推动形成多层次平台发展体系，加速制造业数字化转型。企业将“自下而上”推动工业互联网平台建设及推广，针对不同的服务对象构建区域、行业、企业子平台，聚焦协议转换、边缘计算、工业机理模型、生产线数字孪生等平台关键技术，形成更有价值的行业解决方案，推动工业互联网平台在地方加速落地。</w:t>
      </w:r>
    </w:p>
    <w:p>
      <w:pPr>
        <w:keepNext w:val="0"/>
        <w:keepLines w:val="0"/>
        <w:pageBreakBefore w:val="0"/>
        <w:widowControl/>
        <w:kinsoku/>
        <w:wordWrap/>
        <w:overflowPunct/>
        <w:topLinePunct w:val="0"/>
        <w:autoSpaceDE/>
        <w:autoSpaceDN/>
        <w:bidi w:val="0"/>
        <w:spacing w:line="550" w:lineRule="exact"/>
        <w:ind w:firstLine="562"/>
        <w:textAlignment w:val="auto"/>
        <w:outlineLvl w:val="0"/>
        <w:rPr>
          <w:rFonts w:eastAsia="黑体"/>
          <w:b/>
          <w:color w:val="auto"/>
          <w:sz w:val="28"/>
          <w:szCs w:val="28"/>
          <w:highlight w:val="none"/>
        </w:rPr>
      </w:pPr>
      <w:bookmarkStart w:id="237" w:name="_Toc88257183"/>
      <w:bookmarkStart w:id="238" w:name="_Toc1603935510"/>
      <w:r>
        <w:rPr>
          <w:rFonts w:eastAsia="黑体"/>
          <w:b/>
          <w:color w:val="auto"/>
          <w:sz w:val="28"/>
          <w:szCs w:val="28"/>
          <w:highlight w:val="none"/>
        </w:rPr>
        <w:t>附件13：航空电子产业选择依据和发展现状</w:t>
      </w:r>
      <w:bookmarkEnd w:id="237"/>
      <w:bookmarkEnd w:id="238"/>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rPr>
      </w:pPr>
      <w:r>
        <w:rPr>
          <w:b/>
          <w:bCs/>
          <w:color w:val="auto"/>
          <w:sz w:val="28"/>
          <w:szCs w:val="28"/>
          <w:highlight w:val="none"/>
          <w:lang w:val="en-GB"/>
        </w:rPr>
        <w:t>（1）</w:t>
      </w:r>
      <w:r>
        <w:rPr>
          <w:b/>
          <w:bCs/>
          <w:color w:val="auto"/>
          <w:sz w:val="28"/>
          <w:szCs w:val="28"/>
          <w:highlight w:val="none"/>
        </w:rPr>
        <w:t>选择依据</w:t>
      </w:r>
    </w:p>
    <w:p>
      <w:pPr>
        <w:keepNext w:val="0"/>
        <w:keepLines w:val="0"/>
        <w:pageBreakBefore w:val="0"/>
        <w:widowControl/>
        <w:kinsoku/>
        <w:wordWrap/>
        <w:overflowPunct/>
        <w:topLinePunct w:val="0"/>
        <w:autoSpaceDE/>
        <w:autoSpaceDN/>
        <w:bidi w:val="0"/>
        <w:adjustRightInd w:val="0"/>
        <w:snapToGrid w:val="0"/>
        <w:spacing w:line="550" w:lineRule="exact"/>
        <w:ind w:firstLine="560"/>
        <w:textAlignment w:val="auto"/>
        <w:rPr>
          <w:color w:val="auto"/>
          <w:sz w:val="28"/>
          <w:szCs w:val="28"/>
          <w:highlight w:val="none"/>
          <w:lang w:val="en-GB"/>
        </w:rPr>
      </w:pPr>
      <w:r>
        <w:rPr>
          <w:color w:val="auto"/>
          <w:sz w:val="28"/>
          <w:szCs w:val="28"/>
          <w:highlight w:val="none"/>
          <w:lang w:val="en-GB"/>
        </w:rPr>
        <w:t>选择依据：南昌现有国家航空高技术产业基地和全国首批通航产业综合示范区，南昌市航空产业链已初具规模。南昌市大力发展航空电子，为航空产业做产业链配套，将进一步推动航空产业在南昌市的聚集，最终形成完整的航空发动机产业链条。</w:t>
      </w:r>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2</w:t>
      </w:r>
      <w:r>
        <w:rPr>
          <w:b/>
          <w:bCs/>
          <w:color w:val="auto"/>
          <w:sz w:val="28"/>
          <w:szCs w:val="28"/>
          <w:highlight w:val="none"/>
          <w:lang w:val="en-GB"/>
        </w:rPr>
        <w:t>）发展现状</w:t>
      </w:r>
    </w:p>
    <w:p>
      <w:pPr>
        <w:keepNext w:val="0"/>
        <w:keepLines w:val="0"/>
        <w:pageBreakBefore w:val="0"/>
        <w:widowControl w:val="0"/>
        <w:kinsoku/>
        <w:wordWrap/>
        <w:overflowPunct/>
        <w:topLinePunct w:val="0"/>
        <w:autoSpaceDE/>
        <w:autoSpaceDN/>
        <w:bidi w:val="0"/>
        <w:adjustRightInd w:val="0"/>
        <w:snapToGrid w:val="0"/>
        <w:spacing w:line="550" w:lineRule="exact"/>
        <w:ind w:firstLine="560"/>
        <w:textAlignment w:val="auto"/>
        <w:rPr>
          <w:color w:val="auto"/>
          <w:sz w:val="28"/>
          <w:szCs w:val="28"/>
          <w:highlight w:val="none"/>
          <w:lang w:val="en-GB"/>
        </w:rPr>
      </w:pPr>
      <w:r>
        <w:rPr>
          <w:color w:val="auto"/>
          <w:sz w:val="28"/>
          <w:szCs w:val="28"/>
          <w:highlight w:val="none"/>
          <w:lang w:val="en-GB"/>
        </w:rPr>
        <w:t>航空电子始于上个世纪70年代，是指飞机上所有电子系统的总和。根据任务不同，航空电子系统有民用与军用之分，其中民用以导航为中心，军用以作战为中心。自航空电子在我国出现后，军机一直是航空电子系统的主力，民用航空电子还未能与世界产业链全面融合，再加上我国民用飞机绝大部分为国外进口，而导致其研究投入及市场力度均存在不足，民用航空电子在技术、工艺、制造、可靠性、可维护性及价格上与国外相比有较大距离。虽然国内航空电子产业市场巨大，但我国研制大型飞机时已落到国外太多，且研发多用于开发早起，进而严重制约了航空电子系统的发展。我国研发、生产、实验测试大型飞机航空电子系统的平台还处于初级阶段，并未形成大型飞机航空电子系统产业体系。自2017年我国首款民用飞机—C919成功首飞，有效带动航空产业链上下游环节，促进我国万亿规模的航空产业加速成长。</w:t>
      </w:r>
    </w:p>
    <w:p>
      <w:pPr>
        <w:keepNext w:val="0"/>
        <w:keepLines w:val="0"/>
        <w:pageBreakBefore w:val="0"/>
        <w:widowControl w:val="0"/>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3</w:t>
      </w:r>
      <w:r>
        <w:rPr>
          <w:b/>
          <w:bCs/>
          <w:color w:val="auto"/>
          <w:sz w:val="28"/>
          <w:szCs w:val="28"/>
          <w:highlight w:val="none"/>
          <w:lang w:val="en-GB"/>
        </w:rPr>
        <w:t>）发展趋势</w:t>
      </w:r>
    </w:p>
    <w:p>
      <w:pPr>
        <w:keepNext w:val="0"/>
        <w:keepLines w:val="0"/>
        <w:pageBreakBefore w:val="0"/>
        <w:widowControl w:val="0"/>
        <w:kinsoku/>
        <w:wordWrap/>
        <w:overflowPunct/>
        <w:topLinePunct w:val="0"/>
        <w:autoSpaceDE/>
        <w:autoSpaceDN/>
        <w:bidi w:val="0"/>
        <w:adjustRightInd w:val="0"/>
        <w:snapToGrid w:val="0"/>
        <w:spacing w:line="550" w:lineRule="exact"/>
        <w:ind w:firstLine="560"/>
        <w:textAlignment w:val="auto"/>
        <w:rPr>
          <w:color w:val="auto"/>
          <w:sz w:val="28"/>
          <w:szCs w:val="28"/>
          <w:highlight w:val="none"/>
          <w:lang w:val="en-GB"/>
        </w:rPr>
      </w:pPr>
      <w:r>
        <w:rPr>
          <w:color w:val="auto"/>
          <w:sz w:val="28"/>
          <w:szCs w:val="28"/>
          <w:highlight w:val="none"/>
          <w:lang w:val="en-GB"/>
        </w:rPr>
        <w:t>民用航空电子方面。随着 C919、ARJ21客机及国产民用直升机、通用飞机的发展，民机航空电子系统国内市场将进入前所未有的机遇期。预计未来20年内，我国国产大型客机需求将达2500架，航空电子行业将随着 C919的首飞成功带来达万亿的市场。大量商用飞机、公务机、直升机、通用机市场也为航空电子产品创造了巨大的市场机会。</w:t>
      </w:r>
    </w:p>
    <w:p>
      <w:pPr>
        <w:keepNext w:val="0"/>
        <w:keepLines w:val="0"/>
        <w:pageBreakBefore w:val="0"/>
        <w:widowControl w:val="0"/>
        <w:kinsoku/>
        <w:wordWrap/>
        <w:overflowPunct/>
        <w:topLinePunct w:val="0"/>
        <w:autoSpaceDE/>
        <w:autoSpaceDN/>
        <w:bidi w:val="0"/>
        <w:adjustRightInd w:val="0"/>
        <w:snapToGrid w:val="0"/>
        <w:spacing w:line="550" w:lineRule="exact"/>
        <w:ind w:firstLine="560"/>
        <w:textAlignment w:val="auto"/>
        <w:rPr>
          <w:color w:val="auto"/>
          <w:sz w:val="28"/>
          <w:szCs w:val="28"/>
          <w:highlight w:val="none"/>
          <w:lang w:val="en-GB"/>
        </w:rPr>
      </w:pPr>
      <w:r>
        <w:rPr>
          <w:color w:val="auto"/>
          <w:sz w:val="28"/>
          <w:szCs w:val="28"/>
          <w:highlight w:val="none"/>
          <w:lang w:val="en-GB"/>
        </w:rPr>
        <w:t>军用航空电子方面。随着上个世纪90年代开始无人机的快速发展，其投入与研制速度也在飞增，尽管目前无人机还主要执行辅助任务，但随着无人机技术的发展，未来无人机作战飞机将成为主站机种。无人机在我国航空武器装备中的投入与研制也将随之增加，无人机的迅速发展也将带动我国航空电子飞速发展。</w:t>
      </w:r>
    </w:p>
    <w:p>
      <w:pPr>
        <w:keepNext w:val="0"/>
        <w:keepLines w:val="0"/>
        <w:pageBreakBefore w:val="0"/>
        <w:widowControl w:val="0"/>
        <w:kinsoku/>
        <w:wordWrap/>
        <w:overflowPunct/>
        <w:topLinePunct w:val="0"/>
        <w:autoSpaceDE/>
        <w:autoSpaceDN/>
        <w:bidi w:val="0"/>
        <w:spacing w:line="550" w:lineRule="exact"/>
        <w:ind w:firstLine="562"/>
        <w:textAlignment w:val="auto"/>
        <w:outlineLvl w:val="0"/>
        <w:rPr>
          <w:rFonts w:eastAsia="黑体"/>
          <w:b/>
          <w:color w:val="auto"/>
          <w:sz w:val="28"/>
          <w:szCs w:val="28"/>
          <w:highlight w:val="none"/>
        </w:rPr>
      </w:pPr>
      <w:bookmarkStart w:id="239" w:name="_Toc7602"/>
      <w:bookmarkStart w:id="240" w:name="_Toc1474249695"/>
      <w:bookmarkStart w:id="241" w:name="_Toc88257184"/>
      <w:bookmarkStart w:id="242" w:name="_Toc15266"/>
      <w:bookmarkStart w:id="243" w:name="_Toc63181227"/>
      <w:r>
        <w:rPr>
          <w:rFonts w:eastAsia="黑体"/>
          <w:b/>
          <w:color w:val="auto"/>
          <w:sz w:val="28"/>
          <w:szCs w:val="28"/>
          <w:highlight w:val="none"/>
        </w:rPr>
        <w:t>附件14：汽车电子产业选择依据和发展现状</w:t>
      </w:r>
      <w:bookmarkEnd w:id="239"/>
      <w:bookmarkEnd w:id="240"/>
      <w:bookmarkEnd w:id="241"/>
      <w:bookmarkEnd w:id="242"/>
      <w:bookmarkEnd w:id="243"/>
    </w:p>
    <w:p>
      <w:pPr>
        <w:keepNext w:val="0"/>
        <w:keepLines w:val="0"/>
        <w:pageBreakBefore w:val="0"/>
        <w:widowControl w:val="0"/>
        <w:kinsoku/>
        <w:wordWrap/>
        <w:overflowPunct/>
        <w:topLinePunct w:val="0"/>
        <w:autoSpaceDE/>
        <w:autoSpaceDN/>
        <w:bidi w:val="0"/>
        <w:spacing w:line="550" w:lineRule="exact"/>
        <w:ind w:firstLine="562"/>
        <w:textAlignment w:val="auto"/>
        <w:outlineLvl w:val="3"/>
        <w:rPr>
          <w:b/>
          <w:bCs/>
          <w:color w:val="auto"/>
          <w:sz w:val="28"/>
          <w:szCs w:val="28"/>
          <w:highlight w:val="none"/>
        </w:rPr>
      </w:pPr>
      <w:r>
        <w:rPr>
          <w:b/>
          <w:bCs/>
          <w:color w:val="auto"/>
          <w:sz w:val="28"/>
          <w:szCs w:val="28"/>
          <w:highlight w:val="none"/>
          <w:lang w:val="en-GB"/>
        </w:rPr>
        <w:t>（1）</w:t>
      </w:r>
      <w:r>
        <w:rPr>
          <w:b/>
          <w:bCs/>
          <w:color w:val="auto"/>
          <w:sz w:val="28"/>
          <w:szCs w:val="28"/>
          <w:highlight w:val="none"/>
        </w:rPr>
        <w:t>选择依据</w:t>
      </w:r>
    </w:p>
    <w:p>
      <w:pPr>
        <w:keepNext w:val="0"/>
        <w:keepLines w:val="0"/>
        <w:pageBreakBefore w:val="0"/>
        <w:widowControl w:val="0"/>
        <w:kinsoku/>
        <w:wordWrap/>
        <w:overflowPunct/>
        <w:topLinePunct w:val="0"/>
        <w:autoSpaceDE/>
        <w:autoSpaceDN/>
        <w:bidi w:val="0"/>
        <w:spacing w:line="550" w:lineRule="exact"/>
        <w:ind w:firstLine="560"/>
        <w:textAlignment w:val="auto"/>
        <w:rPr>
          <w:bCs/>
          <w:color w:val="auto"/>
          <w:sz w:val="28"/>
          <w:szCs w:val="28"/>
          <w:highlight w:val="none"/>
        </w:rPr>
      </w:pPr>
      <w:r>
        <w:rPr>
          <w:bCs/>
          <w:color w:val="auto"/>
          <w:sz w:val="28"/>
          <w:szCs w:val="28"/>
          <w:highlight w:val="none"/>
        </w:rPr>
        <w:t>在智能网联趋势下，汽车逐步由传统的代步工具向同时具有交通、娱乐、办公、通信等多种功能的新一代智能移动空间和应用终端升级，实现车联智能网联功能的驾驶辅助系统、车联联网系统以及智能座舱系统相关电子设备逐步成为汽车电子产业研发应用的重点。汽车电子产业涉及上游车规级电子元器件生产、中游系统集成以及下游整车应用集成。在新的升级趋势下，汽车电子在整车中的成本占比将逐步提高，产业将进入快速增长期。</w:t>
      </w:r>
    </w:p>
    <w:p>
      <w:pPr>
        <w:keepNext w:val="0"/>
        <w:keepLines w:val="0"/>
        <w:pageBreakBefore w:val="0"/>
        <w:widowControl w:val="0"/>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2</w:t>
      </w:r>
      <w:r>
        <w:rPr>
          <w:b/>
          <w:bCs/>
          <w:color w:val="auto"/>
          <w:sz w:val="28"/>
          <w:szCs w:val="28"/>
          <w:highlight w:val="none"/>
          <w:lang w:val="en-GB"/>
        </w:rPr>
        <w:t>）发展现状</w:t>
      </w:r>
    </w:p>
    <w:p>
      <w:pPr>
        <w:keepNext w:val="0"/>
        <w:keepLines w:val="0"/>
        <w:pageBreakBefore w:val="0"/>
        <w:widowControl w:val="0"/>
        <w:kinsoku/>
        <w:wordWrap/>
        <w:overflowPunct/>
        <w:topLinePunct w:val="0"/>
        <w:autoSpaceDE/>
        <w:autoSpaceDN/>
        <w:bidi w:val="0"/>
        <w:spacing w:line="550" w:lineRule="exact"/>
        <w:ind w:firstLine="560"/>
        <w:textAlignment w:val="auto"/>
        <w:rPr>
          <w:bCs/>
          <w:color w:val="auto"/>
          <w:sz w:val="28"/>
          <w:szCs w:val="28"/>
          <w:highlight w:val="none"/>
        </w:rPr>
      </w:pPr>
      <w:r>
        <w:rPr>
          <w:bCs/>
          <w:color w:val="auto"/>
          <w:sz w:val="28"/>
          <w:szCs w:val="28"/>
          <w:highlight w:val="none"/>
        </w:rPr>
        <w:t>汽车电子作为汽车产业中最为重要的基础支撑，在政策驱动、技术引领、环保助推以及消费牵引的共同作用下，进入发展的黄金时期。2018年-2019年全球汽车电子市场规模预计为1.77万亿元，预计将以6.7%的复合增速持续增长，至2020年全球市场规模有望突破2万亿元大关。近三年我国汽车电子复合增长率为12.5%，超世界水平，预计2020年我国市汽车电子场规模将达到8085亿元。随着全球汽车电子产业重点逐渐向亚洲地区转移，国际汽车电子巨头不断深化在华布局，扩大在华产能，我国汽车电子产业规模效应显现。</w:t>
      </w:r>
    </w:p>
    <w:p>
      <w:pPr>
        <w:keepNext w:val="0"/>
        <w:keepLines w:val="0"/>
        <w:pageBreakBefore w:val="0"/>
        <w:widowControl/>
        <w:kinsoku/>
        <w:wordWrap/>
        <w:overflowPunct/>
        <w:topLinePunct w:val="0"/>
        <w:autoSpaceDE/>
        <w:autoSpaceDN/>
        <w:bidi w:val="0"/>
        <w:spacing w:line="550" w:lineRule="exact"/>
        <w:ind w:firstLine="562"/>
        <w:textAlignment w:val="auto"/>
        <w:outlineLvl w:val="3"/>
        <w:rPr>
          <w:b/>
          <w:bCs/>
          <w:color w:val="auto"/>
          <w:sz w:val="28"/>
          <w:szCs w:val="28"/>
          <w:highlight w:val="none"/>
          <w:lang w:val="en-GB"/>
        </w:rPr>
      </w:pPr>
      <w:r>
        <w:rPr>
          <w:b/>
          <w:bCs/>
          <w:color w:val="auto"/>
          <w:sz w:val="28"/>
          <w:szCs w:val="28"/>
          <w:highlight w:val="none"/>
          <w:lang w:val="en-GB"/>
        </w:rPr>
        <w:t>（</w:t>
      </w:r>
      <w:r>
        <w:rPr>
          <w:b/>
          <w:bCs/>
          <w:color w:val="auto"/>
          <w:sz w:val="28"/>
          <w:szCs w:val="28"/>
          <w:highlight w:val="none"/>
        </w:rPr>
        <w:t>3</w:t>
      </w:r>
      <w:r>
        <w:rPr>
          <w:b/>
          <w:bCs/>
          <w:color w:val="auto"/>
          <w:sz w:val="28"/>
          <w:szCs w:val="28"/>
          <w:highlight w:val="none"/>
          <w:lang w:val="en-GB"/>
        </w:rPr>
        <w:t>）发展趋势</w:t>
      </w:r>
    </w:p>
    <w:p>
      <w:pPr>
        <w:keepNext w:val="0"/>
        <w:keepLines w:val="0"/>
        <w:pageBreakBefore w:val="0"/>
        <w:widowControl/>
        <w:kinsoku/>
        <w:wordWrap/>
        <w:overflowPunct/>
        <w:topLinePunct w:val="0"/>
        <w:autoSpaceDE/>
        <w:autoSpaceDN/>
        <w:bidi w:val="0"/>
        <w:spacing w:line="550" w:lineRule="exact"/>
        <w:ind w:firstLine="560"/>
        <w:textAlignment w:val="auto"/>
        <w:rPr>
          <w:bCs/>
          <w:color w:val="auto"/>
          <w:sz w:val="28"/>
          <w:szCs w:val="28"/>
          <w:highlight w:val="none"/>
        </w:rPr>
      </w:pPr>
      <w:r>
        <w:rPr>
          <w:bCs/>
          <w:color w:val="auto"/>
          <w:sz w:val="28"/>
          <w:szCs w:val="28"/>
          <w:highlight w:val="none"/>
        </w:rPr>
        <w:t>现代汽车通过电子化的渗透，完成安全、舒适、节能等要求，汽车计算机系统与驾驶员、乘客的交互也越来越多，未来汽车电子系统将向智能化、网络化、集成化趋势演进。</w:t>
      </w:r>
      <w:r>
        <w:rPr>
          <w:b/>
          <w:color w:val="auto"/>
          <w:sz w:val="28"/>
          <w:szCs w:val="28"/>
          <w:highlight w:val="none"/>
        </w:rPr>
        <w:t>智能化</w:t>
      </w:r>
      <w:r>
        <w:rPr>
          <w:bCs/>
          <w:color w:val="auto"/>
          <w:sz w:val="28"/>
          <w:szCs w:val="28"/>
          <w:highlight w:val="none"/>
        </w:rPr>
        <w:t>，通过传感技术和网络技术，达到“人、车、环境”的智能协调，系统具有“实时感知”、“判断决策”、“操控执行”的能力，能够主动协助驾驶员采取必要行动。</w:t>
      </w:r>
      <w:r>
        <w:rPr>
          <w:b/>
          <w:color w:val="auto"/>
          <w:sz w:val="28"/>
          <w:szCs w:val="28"/>
          <w:highlight w:val="none"/>
        </w:rPr>
        <w:t>网络化</w:t>
      </w:r>
      <w:r>
        <w:rPr>
          <w:bCs/>
          <w:color w:val="auto"/>
          <w:sz w:val="28"/>
          <w:szCs w:val="28"/>
          <w:highlight w:val="none"/>
        </w:rPr>
        <w:t>，利用总线技术将汽车中各种电控单元、智能传感器、智能仪表等联结起来，从而构成汽车内部局域网，并通过协议进行相互通信，实现各系统间的信息等资源的共享。</w:t>
      </w:r>
      <w:r>
        <w:rPr>
          <w:b/>
          <w:color w:val="auto"/>
          <w:sz w:val="28"/>
          <w:szCs w:val="28"/>
          <w:highlight w:val="none"/>
        </w:rPr>
        <w:t>集成化</w:t>
      </w:r>
      <w:r>
        <w:rPr>
          <w:bCs/>
          <w:color w:val="auto"/>
          <w:sz w:val="28"/>
          <w:szCs w:val="28"/>
          <w:highlight w:val="none"/>
        </w:rPr>
        <w:t>，将安全系统、车载信息系统、导航系统等系统间一体化集成，达到降低系统总体成本的目的。</w:t>
      </w:r>
    </w:p>
    <w:p>
      <w:pPr>
        <w:pStyle w:val="38"/>
        <w:keepNext w:val="0"/>
        <w:keepLines w:val="0"/>
        <w:pageBreakBefore w:val="0"/>
        <w:kinsoku/>
        <w:wordWrap/>
        <w:overflowPunct/>
        <w:topLinePunct w:val="0"/>
        <w:autoSpaceDE/>
        <w:autoSpaceDN/>
        <w:bidi w:val="0"/>
        <w:spacing w:after="0" w:line="550" w:lineRule="exact"/>
        <w:ind w:firstLine="560"/>
        <w:textAlignment w:val="auto"/>
        <w:rPr>
          <w:rFonts w:eastAsia="仿宋_GB2312"/>
          <w:bCs/>
          <w:color w:val="auto"/>
          <w:sz w:val="28"/>
          <w:szCs w:val="28"/>
          <w:highlight w:val="none"/>
        </w:rPr>
      </w:pPr>
    </w:p>
    <w:sectPr>
      <w:headerReference r:id="rId12" w:type="first"/>
      <w:footerReference r:id="rId14" w:type="first"/>
      <w:footerReference r:id="rId13" w:type="default"/>
      <w:pgSz w:w="11850" w:h="16783"/>
      <w:pgMar w:top="1701" w:right="1701" w:bottom="1701" w:left="1701" w:header="851" w:footer="992" w:gutter="0"/>
      <w:pgBorders>
        <w:top w:val="none" w:sz="0" w:space="0"/>
        <w:left w:val="none" w:sz="0" w:space="0"/>
        <w:bottom w:val="none" w:sz="0" w:space="0"/>
        <w:right w:val="none" w:sz="0" w:space="0"/>
      </w:pgBorders>
      <w:pgNumType w:fmt="decimal" w:start="1"/>
      <w:cols w:space="0" w:num="1"/>
      <w:titlePg/>
      <w:rtlGutter w:val="0"/>
      <w:docGrid w:type="linesAndChar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p>
  </w:endnote>
  <w:endnote w:type="continuationSeparator" w:id="1">
    <w:p>
      <w:pPr>
        <w:spacing w:line="240" w:lineRule="auto"/>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方正细黑一_GBK"/>
    <w:panose1 w:val="00000000000000000000"/>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16" w:usb3="00000000" w:csb0="0004000F" w:csb1="00000000"/>
  </w:font>
  <w:font w:name="Cambria">
    <w:altName w:val="FreeSerif"/>
    <w:panose1 w:val="02040503050406030204"/>
    <w:charset w:val="00"/>
    <w:family w:val="roman"/>
    <w:pitch w:val="default"/>
    <w:sig w:usb0="00000000" w:usb1="00000000" w:usb2="00000000" w:usb3="00000000" w:csb0="0000019F"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等线">
    <w:altName w:val="仿宋_GB2312"/>
    <w:panose1 w:val="00000000000000000000"/>
    <w:charset w:val="00"/>
    <w:family w:val="auto"/>
    <w:pitch w:val="default"/>
    <w:sig w:usb0="00000000" w:usb1="00000000" w:usb2="00000000" w:usb3="00000000" w:csb0="00000000" w:csb1="00000000"/>
  </w:font>
  <w:font w:name="等线 Light">
    <w:altName w:val="仿宋_GB2312"/>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33"/>
      </w:rPr>
      <w:id w:val="1572386039"/>
    </w:sdtPr>
    <w:sdtEndPr>
      <w:rPr>
        <w:rStyle w:val="33"/>
      </w:rPr>
    </w:sdtEndPr>
    <w:sdtContent>
      <w:p>
        <w:pPr>
          <w:pStyle w:val="16"/>
          <w:ind w:firstLine="360"/>
          <w:rPr>
            <w:rStyle w:val="33"/>
            <w:sz w:val="32"/>
            <w:szCs w:val="32"/>
          </w:rPr>
        </w:pPr>
        <w:r>
          <w:rPr>
            <w:rStyle w:val="33"/>
          </w:rPr>
          <w:fldChar w:fldCharType="begin"/>
        </w:r>
        <w:r>
          <w:rPr>
            <w:rStyle w:val="33"/>
          </w:rPr>
          <w:instrText xml:space="preserve"> PAGE </w:instrText>
        </w:r>
        <w:r>
          <w:rPr>
            <w:rStyle w:val="33"/>
          </w:rPr>
          <w:fldChar w:fldCharType="end"/>
        </w:r>
      </w:p>
    </w:sdtContent>
  </w:sdt>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Style w:val="33"/>
        <w:sz w:val="32"/>
        <w:szCs w:val="32"/>
      </w:rPr>
    </w:pPr>
  </w:p>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kinsoku/>
      <w:wordWrap/>
      <w:overflowPunct/>
      <w:topLinePunct w:val="0"/>
      <w:autoSpaceDE/>
      <w:autoSpaceDN/>
      <w:bidi w:val="0"/>
      <w:adjustRightInd/>
      <w:snapToGrid w:val="0"/>
      <w:ind w:firstLine="0" w:firstLineChars="0"/>
      <w:textAlignment w:val="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方正宋体S-超大字符集" w:hAnsi="方正宋体S-超大字符集" w:eastAsia="方正宋体S-超大字符集" w:cs="方正宋体S-超大字符集"/>
                              <w:sz w:val="28"/>
                              <w:szCs w:val="28"/>
                            </w:rPr>
                          </w:pPr>
                          <w:r>
                            <w:rPr>
                              <w:rFonts w:hint="eastAsia" w:ascii="方正宋体S-超大字符集" w:hAnsi="方正宋体S-超大字符集" w:eastAsia="方正宋体S-超大字符集" w:cs="方正宋体S-超大字符集"/>
                              <w:sz w:val="28"/>
                              <w:szCs w:val="28"/>
                            </w:rPr>
                            <w:t xml:space="preserve">— </w:t>
                          </w:r>
                          <w:r>
                            <w:rPr>
                              <w:rFonts w:hint="eastAsia" w:ascii="方正宋体S-超大字符集" w:hAnsi="方正宋体S-超大字符集" w:eastAsia="方正宋体S-超大字符集" w:cs="方正宋体S-超大字符集"/>
                              <w:sz w:val="28"/>
                              <w:szCs w:val="28"/>
                            </w:rPr>
                            <w:fldChar w:fldCharType="begin"/>
                          </w:r>
                          <w:r>
                            <w:rPr>
                              <w:rFonts w:hint="eastAsia" w:ascii="方正宋体S-超大字符集" w:hAnsi="方正宋体S-超大字符集" w:eastAsia="方正宋体S-超大字符集" w:cs="方正宋体S-超大字符集"/>
                              <w:sz w:val="28"/>
                              <w:szCs w:val="28"/>
                            </w:rPr>
                            <w:instrText xml:space="preserve"> PAGE  \* MERGEFORMAT </w:instrText>
                          </w:r>
                          <w:r>
                            <w:rPr>
                              <w:rFonts w:hint="eastAsia" w:ascii="方正宋体S-超大字符集" w:hAnsi="方正宋体S-超大字符集" w:eastAsia="方正宋体S-超大字符集" w:cs="方正宋体S-超大字符集"/>
                              <w:sz w:val="28"/>
                              <w:szCs w:val="28"/>
                            </w:rPr>
                            <w:fldChar w:fldCharType="separate"/>
                          </w:r>
                          <w:r>
                            <w:rPr>
                              <w:rFonts w:hint="eastAsia" w:ascii="方正宋体S-超大字符集" w:hAnsi="方正宋体S-超大字符集" w:eastAsia="方正宋体S-超大字符集" w:cs="方正宋体S-超大字符集"/>
                              <w:sz w:val="28"/>
                              <w:szCs w:val="28"/>
                            </w:rPr>
                            <w:t>2</w:t>
                          </w:r>
                          <w:r>
                            <w:rPr>
                              <w:rFonts w:hint="eastAsia" w:ascii="方正宋体S-超大字符集" w:hAnsi="方正宋体S-超大字符集" w:eastAsia="方正宋体S-超大字符集" w:cs="方正宋体S-超大字符集"/>
                              <w:sz w:val="28"/>
                              <w:szCs w:val="28"/>
                            </w:rPr>
                            <w:fldChar w:fldCharType="end"/>
                          </w:r>
                          <w:r>
                            <w:rPr>
                              <w:rFonts w:hint="eastAsia" w:ascii="方正宋体S-超大字符集" w:hAnsi="方正宋体S-超大字符集" w:eastAsia="方正宋体S-超大字符集" w:cs="方正宋体S-超大字符集"/>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6"/>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方正宋体S-超大字符集" w:hAnsi="方正宋体S-超大字符集" w:eastAsia="方正宋体S-超大字符集" w:cs="方正宋体S-超大字符集"/>
                        <w:sz w:val="28"/>
                        <w:szCs w:val="28"/>
                      </w:rPr>
                    </w:pPr>
                    <w:r>
                      <w:rPr>
                        <w:rFonts w:hint="eastAsia" w:ascii="方正宋体S-超大字符集" w:hAnsi="方正宋体S-超大字符集" w:eastAsia="方正宋体S-超大字符集" w:cs="方正宋体S-超大字符集"/>
                        <w:sz w:val="28"/>
                        <w:szCs w:val="28"/>
                      </w:rPr>
                      <w:t xml:space="preserve">— </w:t>
                    </w:r>
                    <w:r>
                      <w:rPr>
                        <w:rFonts w:hint="eastAsia" w:ascii="方正宋体S-超大字符集" w:hAnsi="方正宋体S-超大字符集" w:eastAsia="方正宋体S-超大字符集" w:cs="方正宋体S-超大字符集"/>
                        <w:sz w:val="28"/>
                        <w:szCs w:val="28"/>
                      </w:rPr>
                      <w:fldChar w:fldCharType="begin"/>
                    </w:r>
                    <w:r>
                      <w:rPr>
                        <w:rFonts w:hint="eastAsia" w:ascii="方正宋体S-超大字符集" w:hAnsi="方正宋体S-超大字符集" w:eastAsia="方正宋体S-超大字符集" w:cs="方正宋体S-超大字符集"/>
                        <w:sz w:val="28"/>
                        <w:szCs w:val="28"/>
                      </w:rPr>
                      <w:instrText xml:space="preserve"> PAGE  \* MERGEFORMAT </w:instrText>
                    </w:r>
                    <w:r>
                      <w:rPr>
                        <w:rFonts w:hint="eastAsia" w:ascii="方正宋体S-超大字符集" w:hAnsi="方正宋体S-超大字符集" w:eastAsia="方正宋体S-超大字符集" w:cs="方正宋体S-超大字符集"/>
                        <w:sz w:val="28"/>
                        <w:szCs w:val="28"/>
                      </w:rPr>
                      <w:fldChar w:fldCharType="separate"/>
                    </w:r>
                    <w:r>
                      <w:rPr>
                        <w:rFonts w:hint="eastAsia" w:ascii="方正宋体S-超大字符集" w:hAnsi="方正宋体S-超大字符集" w:eastAsia="方正宋体S-超大字符集" w:cs="方正宋体S-超大字符集"/>
                        <w:sz w:val="28"/>
                        <w:szCs w:val="28"/>
                      </w:rPr>
                      <w:t>2</w:t>
                    </w:r>
                    <w:r>
                      <w:rPr>
                        <w:rFonts w:hint="eastAsia" w:ascii="方正宋体S-超大字符集" w:hAnsi="方正宋体S-超大字符集" w:eastAsia="方正宋体S-超大字符集" w:cs="方正宋体S-超大字符集"/>
                        <w:sz w:val="28"/>
                        <w:szCs w:val="28"/>
                      </w:rPr>
                      <w:fldChar w:fldCharType="end"/>
                    </w:r>
                    <w:r>
                      <w:rPr>
                        <w:rFonts w:hint="eastAsia" w:ascii="方正宋体S-超大字符集" w:hAnsi="方正宋体S-超大字符集" w:eastAsia="方正宋体S-超大字符集" w:cs="方正宋体S-超大字符集"/>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ascii="方正宋体S-超大字符集" w:hAnsi="方正宋体S-超大字符集" w:eastAsia="方正宋体S-超大字符集" w:cs="方正宋体S-超大字符集"/>
                              <w:sz w:val="28"/>
                              <w:szCs w:val="28"/>
                            </w:rPr>
                          </w:pPr>
                          <w:r>
                            <w:rPr>
                              <w:rFonts w:hint="eastAsia" w:ascii="方正宋体S-超大字符集" w:hAnsi="方正宋体S-超大字符集" w:eastAsia="方正宋体S-超大字符集" w:cs="方正宋体S-超大字符集"/>
                              <w:sz w:val="28"/>
                              <w:szCs w:val="28"/>
                            </w:rPr>
                            <w:t xml:space="preserve">— </w:t>
                          </w:r>
                          <w:r>
                            <w:rPr>
                              <w:rFonts w:hint="eastAsia" w:ascii="方正宋体S-超大字符集" w:hAnsi="方正宋体S-超大字符集" w:eastAsia="方正宋体S-超大字符集" w:cs="方正宋体S-超大字符集"/>
                              <w:sz w:val="28"/>
                              <w:szCs w:val="28"/>
                            </w:rPr>
                            <w:fldChar w:fldCharType="begin"/>
                          </w:r>
                          <w:r>
                            <w:rPr>
                              <w:rFonts w:hint="eastAsia" w:ascii="方正宋体S-超大字符集" w:hAnsi="方正宋体S-超大字符集" w:eastAsia="方正宋体S-超大字符集" w:cs="方正宋体S-超大字符集"/>
                              <w:sz w:val="28"/>
                              <w:szCs w:val="28"/>
                            </w:rPr>
                            <w:instrText xml:space="preserve"> PAGE  \* MERGEFORMAT </w:instrText>
                          </w:r>
                          <w:r>
                            <w:rPr>
                              <w:rFonts w:hint="eastAsia" w:ascii="方正宋体S-超大字符集" w:hAnsi="方正宋体S-超大字符集" w:eastAsia="方正宋体S-超大字符集" w:cs="方正宋体S-超大字符集"/>
                              <w:sz w:val="28"/>
                              <w:szCs w:val="28"/>
                            </w:rPr>
                            <w:fldChar w:fldCharType="separate"/>
                          </w:r>
                          <w:r>
                            <w:rPr>
                              <w:rFonts w:hint="eastAsia" w:ascii="方正宋体S-超大字符集" w:hAnsi="方正宋体S-超大字符集" w:eastAsia="方正宋体S-超大字符集" w:cs="方正宋体S-超大字符集"/>
                              <w:sz w:val="28"/>
                              <w:szCs w:val="28"/>
                            </w:rPr>
                            <w:t>1</w:t>
                          </w:r>
                          <w:r>
                            <w:rPr>
                              <w:rFonts w:hint="eastAsia" w:ascii="方正宋体S-超大字符集" w:hAnsi="方正宋体S-超大字符集" w:eastAsia="方正宋体S-超大字符集" w:cs="方正宋体S-超大字符集"/>
                              <w:sz w:val="28"/>
                              <w:szCs w:val="28"/>
                            </w:rPr>
                            <w:fldChar w:fldCharType="end"/>
                          </w:r>
                          <w:r>
                            <w:rPr>
                              <w:rFonts w:hint="eastAsia" w:ascii="方正宋体S-超大字符集" w:hAnsi="方正宋体S-超大字符集" w:eastAsia="方正宋体S-超大字符集" w:cs="方正宋体S-超大字符集"/>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16"/>
                      <w:rPr>
                        <w:rFonts w:hint="eastAsia" w:ascii="方正宋体S-超大字符集" w:hAnsi="方正宋体S-超大字符集" w:eastAsia="方正宋体S-超大字符集" w:cs="方正宋体S-超大字符集"/>
                        <w:sz w:val="28"/>
                        <w:szCs w:val="28"/>
                      </w:rPr>
                    </w:pPr>
                    <w:r>
                      <w:rPr>
                        <w:rFonts w:hint="eastAsia" w:ascii="方正宋体S-超大字符集" w:hAnsi="方正宋体S-超大字符集" w:eastAsia="方正宋体S-超大字符集" w:cs="方正宋体S-超大字符集"/>
                        <w:sz w:val="28"/>
                        <w:szCs w:val="28"/>
                      </w:rPr>
                      <w:t xml:space="preserve">— </w:t>
                    </w:r>
                    <w:r>
                      <w:rPr>
                        <w:rFonts w:hint="eastAsia" w:ascii="方正宋体S-超大字符集" w:hAnsi="方正宋体S-超大字符集" w:eastAsia="方正宋体S-超大字符集" w:cs="方正宋体S-超大字符集"/>
                        <w:sz w:val="28"/>
                        <w:szCs w:val="28"/>
                      </w:rPr>
                      <w:fldChar w:fldCharType="begin"/>
                    </w:r>
                    <w:r>
                      <w:rPr>
                        <w:rFonts w:hint="eastAsia" w:ascii="方正宋体S-超大字符集" w:hAnsi="方正宋体S-超大字符集" w:eastAsia="方正宋体S-超大字符集" w:cs="方正宋体S-超大字符集"/>
                        <w:sz w:val="28"/>
                        <w:szCs w:val="28"/>
                      </w:rPr>
                      <w:instrText xml:space="preserve"> PAGE  \* MERGEFORMAT </w:instrText>
                    </w:r>
                    <w:r>
                      <w:rPr>
                        <w:rFonts w:hint="eastAsia" w:ascii="方正宋体S-超大字符集" w:hAnsi="方正宋体S-超大字符集" w:eastAsia="方正宋体S-超大字符集" w:cs="方正宋体S-超大字符集"/>
                        <w:sz w:val="28"/>
                        <w:szCs w:val="28"/>
                      </w:rPr>
                      <w:fldChar w:fldCharType="separate"/>
                    </w:r>
                    <w:r>
                      <w:rPr>
                        <w:rFonts w:hint="eastAsia" w:ascii="方正宋体S-超大字符集" w:hAnsi="方正宋体S-超大字符集" w:eastAsia="方正宋体S-超大字符集" w:cs="方正宋体S-超大字符集"/>
                        <w:sz w:val="28"/>
                        <w:szCs w:val="28"/>
                      </w:rPr>
                      <w:t>1</w:t>
                    </w:r>
                    <w:r>
                      <w:rPr>
                        <w:rFonts w:hint="eastAsia" w:ascii="方正宋体S-超大字符集" w:hAnsi="方正宋体S-超大字符集" w:eastAsia="方正宋体S-超大字符集" w:cs="方正宋体S-超大字符集"/>
                        <w:sz w:val="28"/>
                        <w:szCs w:val="28"/>
                      </w:rPr>
                      <w:fldChar w:fldCharType="end"/>
                    </w:r>
                    <w:r>
                      <w:rPr>
                        <w:rFonts w:hint="eastAsia" w:ascii="方正宋体S-超大字符集" w:hAnsi="方正宋体S-超大字符集" w:eastAsia="方正宋体S-超大字符集" w:cs="方正宋体S-超大字符集"/>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方正宋体S-超大字符集" w:hAnsi="方正宋体S-超大字符集" w:eastAsia="方正宋体S-超大字符集" w:cs="方正宋体S-超大字符集"/>
                              <w:sz w:val="28"/>
                              <w:szCs w:val="28"/>
                            </w:rPr>
                          </w:pPr>
                          <w:r>
                            <w:rPr>
                              <w:rFonts w:hint="eastAsia" w:ascii="方正宋体S-超大字符集" w:hAnsi="方正宋体S-超大字符集" w:eastAsia="方正宋体S-超大字符集" w:cs="方正宋体S-超大字符集"/>
                              <w:sz w:val="28"/>
                              <w:szCs w:val="28"/>
                            </w:rPr>
                            <w:t xml:space="preserve">— </w:t>
                          </w:r>
                          <w:r>
                            <w:rPr>
                              <w:rFonts w:hint="eastAsia" w:ascii="方正宋体S-超大字符集" w:hAnsi="方正宋体S-超大字符集" w:eastAsia="方正宋体S-超大字符集" w:cs="方正宋体S-超大字符集"/>
                              <w:sz w:val="28"/>
                              <w:szCs w:val="28"/>
                            </w:rPr>
                            <w:fldChar w:fldCharType="begin"/>
                          </w:r>
                          <w:r>
                            <w:rPr>
                              <w:rFonts w:hint="eastAsia" w:ascii="方正宋体S-超大字符集" w:hAnsi="方正宋体S-超大字符集" w:eastAsia="方正宋体S-超大字符集" w:cs="方正宋体S-超大字符集"/>
                              <w:sz w:val="28"/>
                              <w:szCs w:val="28"/>
                            </w:rPr>
                            <w:instrText xml:space="preserve"> PAGE  \* MERGEFORMAT </w:instrText>
                          </w:r>
                          <w:r>
                            <w:rPr>
                              <w:rFonts w:hint="eastAsia" w:ascii="方正宋体S-超大字符集" w:hAnsi="方正宋体S-超大字符集" w:eastAsia="方正宋体S-超大字符集" w:cs="方正宋体S-超大字符集"/>
                              <w:sz w:val="28"/>
                              <w:szCs w:val="28"/>
                            </w:rPr>
                            <w:fldChar w:fldCharType="separate"/>
                          </w:r>
                          <w:r>
                            <w:rPr>
                              <w:rFonts w:hint="eastAsia" w:ascii="方正宋体S-超大字符集" w:hAnsi="方正宋体S-超大字符集" w:eastAsia="方正宋体S-超大字符集" w:cs="方正宋体S-超大字符集"/>
                              <w:sz w:val="28"/>
                              <w:szCs w:val="28"/>
                            </w:rPr>
                            <w:t>5</w:t>
                          </w:r>
                          <w:r>
                            <w:rPr>
                              <w:rFonts w:hint="eastAsia" w:ascii="方正宋体S-超大字符集" w:hAnsi="方正宋体S-超大字符集" w:eastAsia="方正宋体S-超大字符集" w:cs="方正宋体S-超大字符集"/>
                              <w:sz w:val="28"/>
                              <w:szCs w:val="28"/>
                            </w:rPr>
                            <w:fldChar w:fldCharType="end"/>
                          </w:r>
                          <w:r>
                            <w:rPr>
                              <w:rFonts w:hint="eastAsia" w:ascii="方正宋体S-超大字符集" w:hAnsi="方正宋体S-超大字符集" w:eastAsia="方正宋体S-超大字符集" w:cs="方正宋体S-超大字符集"/>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16"/>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方正宋体S-超大字符集" w:hAnsi="方正宋体S-超大字符集" w:eastAsia="方正宋体S-超大字符集" w:cs="方正宋体S-超大字符集"/>
                        <w:sz w:val="28"/>
                        <w:szCs w:val="28"/>
                      </w:rPr>
                    </w:pPr>
                    <w:r>
                      <w:rPr>
                        <w:rFonts w:hint="eastAsia" w:ascii="方正宋体S-超大字符集" w:hAnsi="方正宋体S-超大字符集" w:eastAsia="方正宋体S-超大字符集" w:cs="方正宋体S-超大字符集"/>
                        <w:sz w:val="28"/>
                        <w:szCs w:val="28"/>
                      </w:rPr>
                      <w:t xml:space="preserve">— </w:t>
                    </w:r>
                    <w:r>
                      <w:rPr>
                        <w:rFonts w:hint="eastAsia" w:ascii="方正宋体S-超大字符集" w:hAnsi="方正宋体S-超大字符集" w:eastAsia="方正宋体S-超大字符集" w:cs="方正宋体S-超大字符集"/>
                        <w:sz w:val="28"/>
                        <w:szCs w:val="28"/>
                      </w:rPr>
                      <w:fldChar w:fldCharType="begin"/>
                    </w:r>
                    <w:r>
                      <w:rPr>
                        <w:rFonts w:hint="eastAsia" w:ascii="方正宋体S-超大字符集" w:hAnsi="方正宋体S-超大字符集" w:eastAsia="方正宋体S-超大字符集" w:cs="方正宋体S-超大字符集"/>
                        <w:sz w:val="28"/>
                        <w:szCs w:val="28"/>
                      </w:rPr>
                      <w:instrText xml:space="preserve"> PAGE  \* MERGEFORMAT </w:instrText>
                    </w:r>
                    <w:r>
                      <w:rPr>
                        <w:rFonts w:hint="eastAsia" w:ascii="方正宋体S-超大字符集" w:hAnsi="方正宋体S-超大字符集" w:eastAsia="方正宋体S-超大字符集" w:cs="方正宋体S-超大字符集"/>
                        <w:sz w:val="28"/>
                        <w:szCs w:val="28"/>
                      </w:rPr>
                      <w:fldChar w:fldCharType="separate"/>
                    </w:r>
                    <w:r>
                      <w:rPr>
                        <w:rFonts w:hint="eastAsia" w:ascii="方正宋体S-超大字符集" w:hAnsi="方正宋体S-超大字符集" w:eastAsia="方正宋体S-超大字符集" w:cs="方正宋体S-超大字符集"/>
                        <w:sz w:val="28"/>
                        <w:szCs w:val="28"/>
                      </w:rPr>
                      <w:t>5</w:t>
                    </w:r>
                    <w:r>
                      <w:rPr>
                        <w:rFonts w:hint="eastAsia" w:ascii="方正宋体S-超大字符集" w:hAnsi="方正宋体S-超大字符集" w:eastAsia="方正宋体S-超大字符集" w:cs="方正宋体S-超大字符集"/>
                        <w:sz w:val="28"/>
                        <w:szCs w:val="28"/>
                      </w:rPr>
                      <w:fldChar w:fldCharType="end"/>
                    </w:r>
                    <w:r>
                      <w:rPr>
                        <w:rFonts w:hint="eastAsia" w:ascii="方正宋体S-超大字符集" w:hAnsi="方正宋体S-超大字符集" w:eastAsia="方正宋体S-超大字符集" w:cs="方正宋体S-超大字符集"/>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ascii="方正宋体S-超大字符集" w:hAnsi="方正宋体S-超大字符集" w:eastAsia="方正宋体S-超大字符集" w:cs="方正宋体S-超大字符集"/>
                              <w:sz w:val="28"/>
                              <w:szCs w:val="28"/>
                            </w:rPr>
                          </w:pPr>
                          <w:r>
                            <w:rPr>
                              <w:rFonts w:hint="eastAsia" w:ascii="方正宋体S-超大字符集" w:hAnsi="方正宋体S-超大字符集" w:eastAsia="方正宋体S-超大字符集" w:cs="方正宋体S-超大字符集"/>
                              <w:sz w:val="28"/>
                              <w:szCs w:val="28"/>
                            </w:rPr>
                            <w:t xml:space="preserve">— </w:t>
                          </w:r>
                          <w:r>
                            <w:rPr>
                              <w:rFonts w:hint="eastAsia" w:ascii="方正宋体S-超大字符集" w:hAnsi="方正宋体S-超大字符集" w:eastAsia="方正宋体S-超大字符集" w:cs="方正宋体S-超大字符集"/>
                              <w:sz w:val="28"/>
                              <w:szCs w:val="28"/>
                            </w:rPr>
                            <w:fldChar w:fldCharType="begin"/>
                          </w:r>
                          <w:r>
                            <w:rPr>
                              <w:rFonts w:hint="eastAsia" w:ascii="方正宋体S-超大字符集" w:hAnsi="方正宋体S-超大字符集" w:eastAsia="方正宋体S-超大字符集" w:cs="方正宋体S-超大字符集"/>
                              <w:sz w:val="28"/>
                              <w:szCs w:val="28"/>
                            </w:rPr>
                            <w:instrText xml:space="preserve"> PAGE  \* MERGEFORMAT </w:instrText>
                          </w:r>
                          <w:r>
                            <w:rPr>
                              <w:rFonts w:hint="eastAsia" w:ascii="方正宋体S-超大字符集" w:hAnsi="方正宋体S-超大字符集" w:eastAsia="方正宋体S-超大字符集" w:cs="方正宋体S-超大字符集"/>
                              <w:sz w:val="28"/>
                              <w:szCs w:val="28"/>
                            </w:rPr>
                            <w:fldChar w:fldCharType="separate"/>
                          </w:r>
                          <w:r>
                            <w:rPr>
                              <w:rFonts w:hint="eastAsia" w:ascii="方正宋体S-超大字符集" w:hAnsi="方正宋体S-超大字符集" w:eastAsia="方正宋体S-超大字符集" w:cs="方正宋体S-超大字符集"/>
                              <w:sz w:val="28"/>
                              <w:szCs w:val="28"/>
                            </w:rPr>
                            <w:t>4</w:t>
                          </w:r>
                          <w:r>
                            <w:rPr>
                              <w:rFonts w:hint="eastAsia" w:ascii="方正宋体S-超大字符集" w:hAnsi="方正宋体S-超大字符集" w:eastAsia="方正宋体S-超大字符集" w:cs="方正宋体S-超大字符集"/>
                              <w:sz w:val="28"/>
                              <w:szCs w:val="28"/>
                            </w:rPr>
                            <w:fldChar w:fldCharType="end"/>
                          </w:r>
                          <w:r>
                            <w:rPr>
                              <w:rFonts w:hint="eastAsia" w:ascii="方正宋体S-超大字符集" w:hAnsi="方正宋体S-超大字符集" w:eastAsia="方正宋体S-超大字符集" w:cs="方正宋体S-超大字符集"/>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16"/>
                      <w:rPr>
                        <w:rFonts w:hint="eastAsia" w:ascii="方正宋体S-超大字符集" w:hAnsi="方正宋体S-超大字符集" w:eastAsia="方正宋体S-超大字符集" w:cs="方正宋体S-超大字符集"/>
                        <w:sz w:val="28"/>
                        <w:szCs w:val="28"/>
                      </w:rPr>
                    </w:pPr>
                    <w:r>
                      <w:rPr>
                        <w:rFonts w:hint="eastAsia" w:ascii="方正宋体S-超大字符集" w:hAnsi="方正宋体S-超大字符集" w:eastAsia="方正宋体S-超大字符集" w:cs="方正宋体S-超大字符集"/>
                        <w:sz w:val="28"/>
                        <w:szCs w:val="28"/>
                      </w:rPr>
                      <w:t xml:space="preserve">— </w:t>
                    </w:r>
                    <w:r>
                      <w:rPr>
                        <w:rFonts w:hint="eastAsia" w:ascii="方正宋体S-超大字符集" w:hAnsi="方正宋体S-超大字符集" w:eastAsia="方正宋体S-超大字符集" w:cs="方正宋体S-超大字符集"/>
                        <w:sz w:val="28"/>
                        <w:szCs w:val="28"/>
                      </w:rPr>
                      <w:fldChar w:fldCharType="begin"/>
                    </w:r>
                    <w:r>
                      <w:rPr>
                        <w:rFonts w:hint="eastAsia" w:ascii="方正宋体S-超大字符集" w:hAnsi="方正宋体S-超大字符集" w:eastAsia="方正宋体S-超大字符集" w:cs="方正宋体S-超大字符集"/>
                        <w:sz w:val="28"/>
                        <w:szCs w:val="28"/>
                      </w:rPr>
                      <w:instrText xml:space="preserve"> PAGE  \* MERGEFORMAT </w:instrText>
                    </w:r>
                    <w:r>
                      <w:rPr>
                        <w:rFonts w:hint="eastAsia" w:ascii="方正宋体S-超大字符集" w:hAnsi="方正宋体S-超大字符集" w:eastAsia="方正宋体S-超大字符集" w:cs="方正宋体S-超大字符集"/>
                        <w:sz w:val="28"/>
                        <w:szCs w:val="28"/>
                      </w:rPr>
                      <w:fldChar w:fldCharType="separate"/>
                    </w:r>
                    <w:r>
                      <w:rPr>
                        <w:rFonts w:hint="eastAsia" w:ascii="方正宋体S-超大字符集" w:hAnsi="方正宋体S-超大字符集" w:eastAsia="方正宋体S-超大字符集" w:cs="方正宋体S-超大字符集"/>
                        <w:sz w:val="28"/>
                        <w:szCs w:val="28"/>
                      </w:rPr>
                      <w:t>4</w:t>
                    </w:r>
                    <w:r>
                      <w:rPr>
                        <w:rFonts w:hint="eastAsia" w:ascii="方正宋体S-超大字符集" w:hAnsi="方正宋体S-超大字符集" w:eastAsia="方正宋体S-超大字符集" w:cs="方正宋体S-超大字符集"/>
                        <w:sz w:val="28"/>
                        <w:szCs w:val="28"/>
                      </w:rPr>
                      <w:fldChar w:fldCharType="end"/>
                    </w:r>
                    <w:r>
                      <w:rPr>
                        <w:rFonts w:hint="eastAsia" w:ascii="方正宋体S-超大字符集" w:hAnsi="方正宋体S-超大字符集" w:eastAsia="方正宋体S-超大字符集" w:cs="方正宋体S-超大字符集"/>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line="240" w:lineRule="auto"/>
        <w:ind w:firstLine="640"/>
      </w:pPr>
    </w:p>
  </w:footnote>
  <w:footnote w:type="continuationSeparator" w:id="9">
    <w:p>
      <w:pPr>
        <w:spacing w:line="240" w:lineRule="auto"/>
        <w:ind w:firstLine="640"/>
      </w:pPr>
    </w:p>
  </w:footnote>
  <w:footnote w:id="0">
    <w:p>
      <w:pPr>
        <w:pStyle w:val="21"/>
        <w:snapToGrid w:val="0"/>
        <w:rPr>
          <w:rFonts w:hint="eastAsia" w:eastAsia="仿宋_GB2312"/>
          <w:lang w:eastAsia="zh-CN"/>
        </w:rPr>
      </w:pPr>
      <w:r>
        <w:rPr>
          <w:rStyle w:val="37"/>
        </w:rPr>
        <w:footnoteRef/>
      </w:r>
      <w:r>
        <w:t xml:space="preserve"> </w:t>
      </w:r>
      <w:r>
        <w:rPr>
          <w:rFonts w:hint="eastAsia"/>
          <w:lang w:eastAsia="zh-CN"/>
        </w:rPr>
        <w:t>含电子信息制造业和电子信息服务业（信息传输、软件和信息技术服务业、新一代信息技术产业等）</w:t>
      </w:r>
    </w:p>
  </w:footnote>
  <w:footnote w:id="1">
    <w:p>
      <w:pPr>
        <w:pStyle w:val="21"/>
        <w:snapToGrid w:val="0"/>
        <w:rPr>
          <w:rFonts w:hint="default" w:eastAsia="仿宋_GB2312"/>
          <w:lang w:val="en-US" w:eastAsia="zh-CN"/>
        </w:rPr>
      </w:pPr>
      <w:r>
        <w:rPr>
          <w:rStyle w:val="37"/>
        </w:rPr>
        <w:footnoteRef/>
      </w:r>
      <w:r>
        <w:t xml:space="preserve"> </w:t>
      </w:r>
      <w:r>
        <w:rPr>
          <w:rFonts w:hint="eastAsia"/>
          <w:lang w:eastAsia="zh-CN"/>
        </w:rPr>
        <w:t>泛指</w:t>
      </w:r>
      <w:r>
        <w:rPr>
          <w:rFonts w:hint="eastAsia"/>
          <w:lang w:val="en-US" w:eastAsia="zh-CN"/>
        </w:rPr>
        <w:t>VR/AR/MR/XR及相关产业，下同</w:t>
      </w:r>
    </w:p>
  </w:footnote>
  <w:footnote w:id="2">
    <w:p>
      <w:pPr>
        <w:pStyle w:val="21"/>
        <w:ind w:firstLine="360"/>
      </w:pPr>
      <w:r>
        <w:rPr>
          <w:rStyle w:val="37"/>
        </w:rPr>
        <w:footnoteRef/>
      </w:r>
      <w:r>
        <w:t xml:space="preserve"> </w:t>
      </w:r>
      <w:r>
        <w:rPr>
          <w:rFonts w:hint="eastAsia"/>
        </w:rPr>
        <w:t>LED封装专用术语，1KK=1百万颗</w:t>
      </w:r>
    </w:p>
  </w:footnote>
  <w:footnote w:id="3">
    <w:p>
      <w:pPr>
        <w:pStyle w:val="21"/>
        <w:ind w:firstLine="360"/>
        <w:rPr>
          <w:rFonts w:eastAsia="宋体"/>
        </w:rPr>
      </w:pPr>
      <w:r>
        <w:rPr>
          <w:rStyle w:val="37"/>
        </w:rPr>
        <w:footnoteRef/>
      </w:r>
      <w:r>
        <w:t xml:space="preserve"> </w:t>
      </w:r>
      <w:r>
        <w:rPr>
          <w:rFonts w:hint="eastAsia"/>
        </w:rPr>
        <w:t>根据2019年电子信息产业收入规模、增速及细分行业领域规模、增速测算。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false"/>
  <w:bordersDoNotSurroundFooter w:val="false"/>
  <w:documentProtection w:enforcement="0"/>
  <w:defaultTabStop w:val="420"/>
  <w:drawingGridHorizontalSpacing w:val="157"/>
  <w:drawingGridVerticalSpacing w:val="289"/>
  <w:displayHorizontalDrawingGridEvery w:val="1"/>
  <w:displayVerticalDrawingGridEvery w:val="1"/>
  <w:noPunctuationKerning w:val="true"/>
  <w:characterSpacingControl w:val="compressPunctuation"/>
  <w:footnotePr>
    <w:footnote w:id="8"/>
    <w:footnote w:id="9"/>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58"/>
    <w:rsid w:val="00001EB0"/>
    <w:rsid w:val="00005B98"/>
    <w:rsid w:val="000078EF"/>
    <w:rsid w:val="00011082"/>
    <w:rsid w:val="0001152A"/>
    <w:rsid w:val="00011551"/>
    <w:rsid w:val="000123CD"/>
    <w:rsid w:val="00012A84"/>
    <w:rsid w:val="0001454A"/>
    <w:rsid w:val="000164E1"/>
    <w:rsid w:val="00017B5A"/>
    <w:rsid w:val="000204A0"/>
    <w:rsid w:val="000209CB"/>
    <w:rsid w:val="000225C9"/>
    <w:rsid w:val="000235AD"/>
    <w:rsid w:val="0002541C"/>
    <w:rsid w:val="0002650E"/>
    <w:rsid w:val="000305C2"/>
    <w:rsid w:val="00030785"/>
    <w:rsid w:val="00031716"/>
    <w:rsid w:val="00031A02"/>
    <w:rsid w:val="000327E0"/>
    <w:rsid w:val="00033C85"/>
    <w:rsid w:val="000340DE"/>
    <w:rsid w:val="0003469F"/>
    <w:rsid w:val="000354C5"/>
    <w:rsid w:val="00043046"/>
    <w:rsid w:val="00043EC7"/>
    <w:rsid w:val="00050CD8"/>
    <w:rsid w:val="00051600"/>
    <w:rsid w:val="00051F94"/>
    <w:rsid w:val="00052D1C"/>
    <w:rsid w:val="00054187"/>
    <w:rsid w:val="0005450B"/>
    <w:rsid w:val="0005473A"/>
    <w:rsid w:val="00054913"/>
    <w:rsid w:val="00054A8F"/>
    <w:rsid w:val="00054AD4"/>
    <w:rsid w:val="000572FC"/>
    <w:rsid w:val="000601B0"/>
    <w:rsid w:val="00061D16"/>
    <w:rsid w:val="00061E0F"/>
    <w:rsid w:val="0006236C"/>
    <w:rsid w:val="000623B3"/>
    <w:rsid w:val="000707E6"/>
    <w:rsid w:val="0007188E"/>
    <w:rsid w:val="00076E27"/>
    <w:rsid w:val="000815E4"/>
    <w:rsid w:val="00084249"/>
    <w:rsid w:val="00084EFA"/>
    <w:rsid w:val="000850E7"/>
    <w:rsid w:val="0008646D"/>
    <w:rsid w:val="00087268"/>
    <w:rsid w:val="00091B94"/>
    <w:rsid w:val="00091B97"/>
    <w:rsid w:val="00093124"/>
    <w:rsid w:val="00094790"/>
    <w:rsid w:val="00094807"/>
    <w:rsid w:val="00096530"/>
    <w:rsid w:val="00096633"/>
    <w:rsid w:val="000969BD"/>
    <w:rsid w:val="00097078"/>
    <w:rsid w:val="0009745F"/>
    <w:rsid w:val="00097A25"/>
    <w:rsid w:val="000A25B0"/>
    <w:rsid w:val="000A2E34"/>
    <w:rsid w:val="000A2F00"/>
    <w:rsid w:val="000A3861"/>
    <w:rsid w:val="000A46F2"/>
    <w:rsid w:val="000A520A"/>
    <w:rsid w:val="000B09A9"/>
    <w:rsid w:val="000B2E1A"/>
    <w:rsid w:val="000B3865"/>
    <w:rsid w:val="000B3C83"/>
    <w:rsid w:val="000B4B39"/>
    <w:rsid w:val="000B4F1F"/>
    <w:rsid w:val="000B69B8"/>
    <w:rsid w:val="000B6D1B"/>
    <w:rsid w:val="000B6EBA"/>
    <w:rsid w:val="000B760F"/>
    <w:rsid w:val="000C0391"/>
    <w:rsid w:val="000C117D"/>
    <w:rsid w:val="000C2807"/>
    <w:rsid w:val="000C58A8"/>
    <w:rsid w:val="000C73C2"/>
    <w:rsid w:val="000C7408"/>
    <w:rsid w:val="000D019F"/>
    <w:rsid w:val="000D1560"/>
    <w:rsid w:val="000D2561"/>
    <w:rsid w:val="000D6D5F"/>
    <w:rsid w:val="000D74E7"/>
    <w:rsid w:val="000D7757"/>
    <w:rsid w:val="000E195A"/>
    <w:rsid w:val="000E2458"/>
    <w:rsid w:val="000E4849"/>
    <w:rsid w:val="000E70AA"/>
    <w:rsid w:val="000E7831"/>
    <w:rsid w:val="000F10B0"/>
    <w:rsid w:val="000F5D4B"/>
    <w:rsid w:val="000F5EB2"/>
    <w:rsid w:val="000F6567"/>
    <w:rsid w:val="000F69F0"/>
    <w:rsid w:val="00100790"/>
    <w:rsid w:val="00104491"/>
    <w:rsid w:val="001058DB"/>
    <w:rsid w:val="00110E85"/>
    <w:rsid w:val="00112C8D"/>
    <w:rsid w:val="00112F95"/>
    <w:rsid w:val="0011643D"/>
    <w:rsid w:val="00116991"/>
    <w:rsid w:val="00121762"/>
    <w:rsid w:val="001219DC"/>
    <w:rsid w:val="00121B43"/>
    <w:rsid w:val="00121BD5"/>
    <w:rsid w:val="00121DD4"/>
    <w:rsid w:val="00123840"/>
    <w:rsid w:val="0012397F"/>
    <w:rsid w:val="00124582"/>
    <w:rsid w:val="001258A3"/>
    <w:rsid w:val="0012675B"/>
    <w:rsid w:val="0012705E"/>
    <w:rsid w:val="00127B35"/>
    <w:rsid w:val="00127EFD"/>
    <w:rsid w:val="001321AE"/>
    <w:rsid w:val="00132705"/>
    <w:rsid w:val="00135C0D"/>
    <w:rsid w:val="00135EAE"/>
    <w:rsid w:val="001377FA"/>
    <w:rsid w:val="00140B92"/>
    <w:rsid w:val="00142E78"/>
    <w:rsid w:val="0014342E"/>
    <w:rsid w:val="00143807"/>
    <w:rsid w:val="00144172"/>
    <w:rsid w:val="00146C8A"/>
    <w:rsid w:val="00150780"/>
    <w:rsid w:val="001516BB"/>
    <w:rsid w:val="001520A4"/>
    <w:rsid w:val="0015387A"/>
    <w:rsid w:val="0015493D"/>
    <w:rsid w:val="00157D01"/>
    <w:rsid w:val="00162077"/>
    <w:rsid w:val="00162E08"/>
    <w:rsid w:val="00163B7F"/>
    <w:rsid w:val="0016741F"/>
    <w:rsid w:val="00167B8F"/>
    <w:rsid w:val="001700A0"/>
    <w:rsid w:val="00170739"/>
    <w:rsid w:val="00172400"/>
    <w:rsid w:val="00172D5B"/>
    <w:rsid w:val="00173A85"/>
    <w:rsid w:val="00174FAD"/>
    <w:rsid w:val="00177B4E"/>
    <w:rsid w:val="00180BA2"/>
    <w:rsid w:val="00181D34"/>
    <w:rsid w:val="00181D57"/>
    <w:rsid w:val="00182B3F"/>
    <w:rsid w:val="001835D6"/>
    <w:rsid w:val="00183F2E"/>
    <w:rsid w:val="00184BE0"/>
    <w:rsid w:val="00186494"/>
    <w:rsid w:val="001876F9"/>
    <w:rsid w:val="001923AA"/>
    <w:rsid w:val="0019411A"/>
    <w:rsid w:val="0019652D"/>
    <w:rsid w:val="001968D5"/>
    <w:rsid w:val="001A0C28"/>
    <w:rsid w:val="001A34AD"/>
    <w:rsid w:val="001A3939"/>
    <w:rsid w:val="001B0CC4"/>
    <w:rsid w:val="001B248F"/>
    <w:rsid w:val="001B3738"/>
    <w:rsid w:val="001B4097"/>
    <w:rsid w:val="001B4CA2"/>
    <w:rsid w:val="001B5AB2"/>
    <w:rsid w:val="001B636F"/>
    <w:rsid w:val="001B6562"/>
    <w:rsid w:val="001C0DDC"/>
    <w:rsid w:val="001C272A"/>
    <w:rsid w:val="001C2FF8"/>
    <w:rsid w:val="001C6F66"/>
    <w:rsid w:val="001D10F0"/>
    <w:rsid w:val="001D2A22"/>
    <w:rsid w:val="001D2F87"/>
    <w:rsid w:val="001D77F3"/>
    <w:rsid w:val="001D7D9C"/>
    <w:rsid w:val="001E16BB"/>
    <w:rsid w:val="001E3CB4"/>
    <w:rsid w:val="001E601D"/>
    <w:rsid w:val="001E6083"/>
    <w:rsid w:val="001E63E0"/>
    <w:rsid w:val="001E763C"/>
    <w:rsid w:val="001F0ADD"/>
    <w:rsid w:val="001F2A64"/>
    <w:rsid w:val="001F2C98"/>
    <w:rsid w:val="001F3E61"/>
    <w:rsid w:val="001F49AA"/>
    <w:rsid w:val="001F580C"/>
    <w:rsid w:val="00201025"/>
    <w:rsid w:val="00202A11"/>
    <w:rsid w:val="00202D69"/>
    <w:rsid w:val="00204162"/>
    <w:rsid w:val="0020430F"/>
    <w:rsid w:val="00207871"/>
    <w:rsid w:val="00215D52"/>
    <w:rsid w:val="00215DA8"/>
    <w:rsid w:val="002174E1"/>
    <w:rsid w:val="00220274"/>
    <w:rsid w:val="002202C7"/>
    <w:rsid w:val="00221BEA"/>
    <w:rsid w:val="00226C55"/>
    <w:rsid w:val="00226FB8"/>
    <w:rsid w:val="00227024"/>
    <w:rsid w:val="00227F1D"/>
    <w:rsid w:val="00230D79"/>
    <w:rsid w:val="0023196E"/>
    <w:rsid w:val="00231B97"/>
    <w:rsid w:val="00231F0A"/>
    <w:rsid w:val="002323D8"/>
    <w:rsid w:val="00234CBD"/>
    <w:rsid w:val="002355F7"/>
    <w:rsid w:val="00237143"/>
    <w:rsid w:val="00237AFA"/>
    <w:rsid w:val="00237EE8"/>
    <w:rsid w:val="00240A5B"/>
    <w:rsid w:val="00241B3D"/>
    <w:rsid w:val="002422B9"/>
    <w:rsid w:val="00245753"/>
    <w:rsid w:val="00246A43"/>
    <w:rsid w:val="0024700A"/>
    <w:rsid w:val="00247C78"/>
    <w:rsid w:val="00247F21"/>
    <w:rsid w:val="00247F8E"/>
    <w:rsid w:val="002505D2"/>
    <w:rsid w:val="00250724"/>
    <w:rsid w:val="002514F1"/>
    <w:rsid w:val="00252F09"/>
    <w:rsid w:val="0025423F"/>
    <w:rsid w:val="002556FB"/>
    <w:rsid w:val="00255F82"/>
    <w:rsid w:val="00256085"/>
    <w:rsid w:val="00260458"/>
    <w:rsid w:val="00261AC9"/>
    <w:rsid w:val="00264773"/>
    <w:rsid w:val="00264D83"/>
    <w:rsid w:val="00271A4D"/>
    <w:rsid w:val="00272140"/>
    <w:rsid w:val="00272B67"/>
    <w:rsid w:val="00273429"/>
    <w:rsid w:val="002735C0"/>
    <w:rsid w:val="002744FF"/>
    <w:rsid w:val="00274BC9"/>
    <w:rsid w:val="002750DB"/>
    <w:rsid w:val="00276B45"/>
    <w:rsid w:val="00280EED"/>
    <w:rsid w:val="00282A15"/>
    <w:rsid w:val="0028453F"/>
    <w:rsid w:val="0028617F"/>
    <w:rsid w:val="00287585"/>
    <w:rsid w:val="00287756"/>
    <w:rsid w:val="002878CD"/>
    <w:rsid w:val="00290E0C"/>
    <w:rsid w:val="00294EF1"/>
    <w:rsid w:val="00295E5E"/>
    <w:rsid w:val="00297DF7"/>
    <w:rsid w:val="00297F71"/>
    <w:rsid w:val="002A08EF"/>
    <w:rsid w:val="002A0CED"/>
    <w:rsid w:val="002A0E53"/>
    <w:rsid w:val="002A1F4C"/>
    <w:rsid w:val="002A28C6"/>
    <w:rsid w:val="002A3C50"/>
    <w:rsid w:val="002A4B87"/>
    <w:rsid w:val="002A5CE4"/>
    <w:rsid w:val="002A6680"/>
    <w:rsid w:val="002A7DB2"/>
    <w:rsid w:val="002B0C03"/>
    <w:rsid w:val="002B60F4"/>
    <w:rsid w:val="002B6D7D"/>
    <w:rsid w:val="002B7630"/>
    <w:rsid w:val="002C4678"/>
    <w:rsid w:val="002C563C"/>
    <w:rsid w:val="002C6CB5"/>
    <w:rsid w:val="002C7B45"/>
    <w:rsid w:val="002D0943"/>
    <w:rsid w:val="002D1941"/>
    <w:rsid w:val="002D24A3"/>
    <w:rsid w:val="002D2701"/>
    <w:rsid w:val="002D27D5"/>
    <w:rsid w:val="002D370A"/>
    <w:rsid w:val="002D396A"/>
    <w:rsid w:val="002D7096"/>
    <w:rsid w:val="002D7EE6"/>
    <w:rsid w:val="002E0D95"/>
    <w:rsid w:val="002E0F62"/>
    <w:rsid w:val="002E172E"/>
    <w:rsid w:val="002E17D8"/>
    <w:rsid w:val="002E1E45"/>
    <w:rsid w:val="002E3090"/>
    <w:rsid w:val="002E30FD"/>
    <w:rsid w:val="002E312B"/>
    <w:rsid w:val="002E3F02"/>
    <w:rsid w:val="002E4009"/>
    <w:rsid w:val="002E46FB"/>
    <w:rsid w:val="002E4FFD"/>
    <w:rsid w:val="002E63EB"/>
    <w:rsid w:val="002E64FA"/>
    <w:rsid w:val="002E74DD"/>
    <w:rsid w:val="002E7BA3"/>
    <w:rsid w:val="002F18E7"/>
    <w:rsid w:val="002F1EA3"/>
    <w:rsid w:val="002F2181"/>
    <w:rsid w:val="002F2554"/>
    <w:rsid w:val="002F25C0"/>
    <w:rsid w:val="002F42FD"/>
    <w:rsid w:val="002F5885"/>
    <w:rsid w:val="002F6633"/>
    <w:rsid w:val="002F6AAE"/>
    <w:rsid w:val="002F72E7"/>
    <w:rsid w:val="002F7A2F"/>
    <w:rsid w:val="0030031B"/>
    <w:rsid w:val="003060CE"/>
    <w:rsid w:val="00306BE8"/>
    <w:rsid w:val="00307071"/>
    <w:rsid w:val="00311986"/>
    <w:rsid w:val="003129F1"/>
    <w:rsid w:val="00312AAE"/>
    <w:rsid w:val="00312F46"/>
    <w:rsid w:val="0031307B"/>
    <w:rsid w:val="00313221"/>
    <w:rsid w:val="003133CB"/>
    <w:rsid w:val="00313B42"/>
    <w:rsid w:val="00313B61"/>
    <w:rsid w:val="00313BBF"/>
    <w:rsid w:val="00314ED6"/>
    <w:rsid w:val="00316A5C"/>
    <w:rsid w:val="00316DAE"/>
    <w:rsid w:val="003176F2"/>
    <w:rsid w:val="003212D9"/>
    <w:rsid w:val="0032185D"/>
    <w:rsid w:val="00321C41"/>
    <w:rsid w:val="003246CB"/>
    <w:rsid w:val="0033019E"/>
    <w:rsid w:val="00331311"/>
    <w:rsid w:val="003314A2"/>
    <w:rsid w:val="00333A85"/>
    <w:rsid w:val="00334D16"/>
    <w:rsid w:val="003356F3"/>
    <w:rsid w:val="003411DB"/>
    <w:rsid w:val="0034120C"/>
    <w:rsid w:val="0034255E"/>
    <w:rsid w:val="00344A7F"/>
    <w:rsid w:val="00344B3A"/>
    <w:rsid w:val="00344B8D"/>
    <w:rsid w:val="00346E10"/>
    <w:rsid w:val="00347D9B"/>
    <w:rsid w:val="00350525"/>
    <w:rsid w:val="00350813"/>
    <w:rsid w:val="003515E2"/>
    <w:rsid w:val="003528B1"/>
    <w:rsid w:val="00353134"/>
    <w:rsid w:val="0035747D"/>
    <w:rsid w:val="00357B29"/>
    <w:rsid w:val="00360298"/>
    <w:rsid w:val="0036126E"/>
    <w:rsid w:val="00361F94"/>
    <w:rsid w:val="003629AA"/>
    <w:rsid w:val="00362ED4"/>
    <w:rsid w:val="00363FA6"/>
    <w:rsid w:val="003706AB"/>
    <w:rsid w:val="00372AE3"/>
    <w:rsid w:val="00372C09"/>
    <w:rsid w:val="00375B90"/>
    <w:rsid w:val="00377A8E"/>
    <w:rsid w:val="00383550"/>
    <w:rsid w:val="00385C04"/>
    <w:rsid w:val="00385F7E"/>
    <w:rsid w:val="00386BBF"/>
    <w:rsid w:val="00386EFE"/>
    <w:rsid w:val="0039189C"/>
    <w:rsid w:val="00393F83"/>
    <w:rsid w:val="0039588F"/>
    <w:rsid w:val="003964CB"/>
    <w:rsid w:val="0039659E"/>
    <w:rsid w:val="00396ADD"/>
    <w:rsid w:val="003976A2"/>
    <w:rsid w:val="003A1B3D"/>
    <w:rsid w:val="003A239F"/>
    <w:rsid w:val="003A2A52"/>
    <w:rsid w:val="003A41DD"/>
    <w:rsid w:val="003A525F"/>
    <w:rsid w:val="003B151B"/>
    <w:rsid w:val="003B24B9"/>
    <w:rsid w:val="003B25CC"/>
    <w:rsid w:val="003B40A5"/>
    <w:rsid w:val="003B552F"/>
    <w:rsid w:val="003B6C70"/>
    <w:rsid w:val="003B76BC"/>
    <w:rsid w:val="003C0CD1"/>
    <w:rsid w:val="003C1A4F"/>
    <w:rsid w:val="003C3335"/>
    <w:rsid w:val="003C333B"/>
    <w:rsid w:val="003C347C"/>
    <w:rsid w:val="003C5476"/>
    <w:rsid w:val="003C5A41"/>
    <w:rsid w:val="003C5C2D"/>
    <w:rsid w:val="003C6BC0"/>
    <w:rsid w:val="003C72E0"/>
    <w:rsid w:val="003C7A2C"/>
    <w:rsid w:val="003D1791"/>
    <w:rsid w:val="003D2643"/>
    <w:rsid w:val="003D32D4"/>
    <w:rsid w:val="003D374F"/>
    <w:rsid w:val="003D3A1C"/>
    <w:rsid w:val="003D73F6"/>
    <w:rsid w:val="003E23BB"/>
    <w:rsid w:val="003E32AE"/>
    <w:rsid w:val="003E44F1"/>
    <w:rsid w:val="003E5EFC"/>
    <w:rsid w:val="003E69BE"/>
    <w:rsid w:val="003E784E"/>
    <w:rsid w:val="003E7EE6"/>
    <w:rsid w:val="003F0662"/>
    <w:rsid w:val="003F13B4"/>
    <w:rsid w:val="003F427B"/>
    <w:rsid w:val="003F526C"/>
    <w:rsid w:val="003F6F52"/>
    <w:rsid w:val="003F787C"/>
    <w:rsid w:val="004017D2"/>
    <w:rsid w:val="00402F7B"/>
    <w:rsid w:val="00403581"/>
    <w:rsid w:val="00403658"/>
    <w:rsid w:val="00403C85"/>
    <w:rsid w:val="00405EAD"/>
    <w:rsid w:val="0040642E"/>
    <w:rsid w:val="004071C3"/>
    <w:rsid w:val="00407F3A"/>
    <w:rsid w:val="00410764"/>
    <w:rsid w:val="00410E9A"/>
    <w:rsid w:val="00414A96"/>
    <w:rsid w:val="00414F9B"/>
    <w:rsid w:val="0041555C"/>
    <w:rsid w:val="0041601D"/>
    <w:rsid w:val="00416108"/>
    <w:rsid w:val="00422E2B"/>
    <w:rsid w:val="00425402"/>
    <w:rsid w:val="00426AAB"/>
    <w:rsid w:val="0042704B"/>
    <w:rsid w:val="00430899"/>
    <w:rsid w:val="00431315"/>
    <w:rsid w:val="0043269D"/>
    <w:rsid w:val="00434B57"/>
    <w:rsid w:val="00435B2F"/>
    <w:rsid w:val="00435DEA"/>
    <w:rsid w:val="00440606"/>
    <w:rsid w:val="0044087E"/>
    <w:rsid w:val="00443832"/>
    <w:rsid w:val="00443A67"/>
    <w:rsid w:val="00444401"/>
    <w:rsid w:val="0044463E"/>
    <w:rsid w:val="00445972"/>
    <w:rsid w:val="00445BA0"/>
    <w:rsid w:val="0044793C"/>
    <w:rsid w:val="00450530"/>
    <w:rsid w:val="00450C33"/>
    <w:rsid w:val="00451C59"/>
    <w:rsid w:val="004527CB"/>
    <w:rsid w:val="00456B11"/>
    <w:rsid w:val="00457A77"/>
    <w:rsid w:val="00457B11"/>
    <w:rsid w:val="0046157D"/>
    <w:rsid w:val="004627C7"/>
    <w:rsid w:val="00464300"/>
    <w:rsid w:val="00464B74"/>
    <w:rsid w:val="004655E6"/>
    <w:rsid w:val="004717F3"/>
    <w:rsid w:val="0047376E"/>
    <w:rsid w:val="00474DBD"/>
    <w:rsid w:val="00475AFA"/>
    <w:rsid w:val="00476973"/>
    <w:rsid w:val="00477C66"/>
    <w:rsid w:val="004809A5"/>
    <w:rsid w:val="00484A37"/>
    <w:rsid w:val="00484B78"/>
    <w:rsid w:val="00485D5F"/>
    <w:rsid w:val="00487A79"/>
    <w:rsid w:val="00487E6E"/>
    <w:rsid w:val="004931CA"/>
    <w:rsid w:val="00493C8A"/>
    <w:rsid w:val="00494E58"/>
    <w:rsid w:val="004A04DF"/>
    <w:rsid w:val="004A0F34"/>
    <w:rsid w:val="004A1053"/>
    <w:rsid w:val="004A2013"/>
    <w:rsid w:val="004A54BE"/>
    <w:rsid w:val="004B2A45"/>
    <w:rsid w:val="004B3926"/>
    <w:rsid w:val="004B4029"/>
    <w:rsid w:val="004B7723"/>
    <w:rsid w:val="004C0E97"/>
    <w:rsid w:val="004C0FAE"/>
    <w:rsid w:val="004C1697"/>
    <w:rsid w:val="004C2D4B"/>
    <w:rsid w:val="004C4C1F"/>
    <w:rsid w:val="004C5578"/>
    <w:rsid w:val="004C6423"/>
    <w:rsid w:val="004C66F5"/>
    <w:rsid w:val="004C6AF8"/>
    <w:rsid w:val="004D0417"/>
    <w:rsid w:val="004D3BD5"/>
    <w:rsid w:val="004D48D3"/>
    <w:rsid w:val="004D6287"/>
    <w:rsid w:val="004D74E6"/>
    <w:rsid w:val="004E0716"/>
    <w:rsid w:val="004E1975"/>
    <w:rsid w:val="004E273E"/>
    <w:rsid w:val="004E3CAB"/>
    <w:rsid w:val="004E4631"/>
    <w:rsid w:val="004E5F1C"/>
    <w:rsid w:val="004E7905"/>
    <w:rsid w:val="004F144B"/>
    <w:rsid w:val="004F24E4"/>
    <w:rsid w:val="004F44D2"/>
    <w:rsid w:val="004F47B3"/>
    <w:rsid w:val="004F7018"/>
    <w:rsid w:val="00500611"/>
    <w:rsid w:val="00501111"/>
    <w:rsid w:val="00501ECB"/>
    <w:rsid w:val="0050525F"/>
    <w:rsid w:val="00506B32"/>
    <w:rsid w:val="00506E64"/>
    <w:rsid w:val="00507201"/>
    <w:rsid w:val="00512334"/>
    <w:rsid w:val="0051583E"/>
    <w:rsid w:val="00515A53"/>
    <w:rsid w:val="00517EE6"/>
    <w:rsid w:val="005242D9"/>
    <w:rsid w:val="00524FCC"/>
    <w:rsid w:val="00527685"/>
    <w:rsid w:val="00527BD0"/>
    <w:rsid w:val="005301B2"/>
    <w:rsid w:val="00530CFF"/>
    <w:rsid w:val="00535400"/>
    <w:rsid w:val="0053697A"/>
    <w:rsid w:val="00536BC0"/>
    <w:rsid w:val="00540BA9"/>
    <w:rsid w:val="00541273"/>
    <w:rsid w:val="005501FE"/>
    <w:rsid w:val="005567FE"/>
    <w:rsid w:val="00557722"/>
    <w:rsid w:val="0055794D"/>
    <w:rsid w:val="00557F8A"/>
    <w:rsid w:val="00560A20"/>
    <w:rsid w:val="00561348"/>
    <w:rsid w:val="00562EE5"/>
    <w:rsid w:val="0056310A"/>
    <w:rsid w:val="00564777"/>
    <w:rsid w:val="00566081"/>
    <w:rsid w:val="0056726F"/>
    <w:rsid w:val="00575732"/>
    <w:rsid w:val="005762AC"/>
    <w:rsid w:val="0057684E"/>
    <w:rsid w:val="00580D28"/>
    <w:rsid w:val="00583B0B"/>
    <w:rsid w:val="00583FB0"/>
    <w:rsid w:val="005843E2"/>
    <w:rsid w:val="00585B38"/>
    <w:rsid w:val="005865FF"/>
    <w:rsid w:val="00590AB5"/>
    <w:rsid w:val="005942C1"/>
    <w:rsid w:val="00594A68"/>
    <w:rsid w:val="005954A8"/>
    <w:rsid w:val="00595FEE"/>
    <w:rsid w:val="005962E7"/>
    <w:rsid w:val="00596911"/>
    <w:rsid w:val="005A313D"/>
    <w:rsid w:val="005A37B7"/>
    <w:rsid w:val="005B0F5A"/>
    <w:rsid w:val="005B2051"/>
    <w:rsid w:val="005B2A1F"/>
    <w:rsid w:val="005B30CF"/>
    <w:rsid w:val="005B3F04"/>
    <w:rsid w:val="005B62FB"/>
    <w:rsid w:val="005B66C0"/>
    <w:rsid w:val="005B6794"/>
    <w:rsid w:val="005B6A77"/>
    <w:rsid w:val="005B7143"/>
    <w:rsid w:val="005C1B4E"/>
    <w:rsid w:val="005C3129"/>
    <w:rsid w:val="005C5AB5"/>
    <w:rsid w:val="005C5BFD"/>
    <w:rsid w:val="005C6B5D"/>
    <w:rsid w:val="005D0978"/>
    <w:rsid w:val="005D2727"/>
    <w:rsid w:val="005D2D55"/>
    <w:rsid w:val="005D3BAB"/>
    <w:rsid w:val="005D660F"/>
    <w:rsid w:val="005D74E4"/>
    <w:rsid w:val="005E0F1C"/>
    <w:rsid w:val="005E1729"/>
    <w:rsid w:val="005E2346"/>
    <w:rsid w:val="005E2F28"/>
    <w:rsid w:val="005E385D"/>
    <w:rsid w:val="005E4413"/>
    <w:rsid w:val="005E4869"/>
    <w:rsid w:val="005E54F2"/>
    <w:rsid w:val="005E5BD8"/>
    <w:rsid w:val="005E65AB"/>
    <w:rsid w:val="005E751E"/>
    <w:rsid w:val="005E755A"/>
    <w:rsid w:val="005F0868"/>
    <w:rsid w:val="005F303F"/>
    <w:rsid w:val="005F4410"/>
    <w:rsid w:val="005F4D32"/>
    <w:rsid w:val="005F5843"/>
    <w:rsid w:val="005F5D0B"/>
    <w:rsid w:val="005F5EFC"/>
    <w:rsid w:val="005F7ECA"/>
    <w:rsid w:val="0060607C"/>
    <w:rsid w:val="0061045E"/>
    <w:rsid w:val="006107AA"/>
    <w:rsid w:val="0061131E"/>
    <w:rsid w:val="006156D9"/>
    <w:rsid w:val="00617A95"/>
    <w:rsid w:val="00620B21"/>
    <w:rsid w:val="00621E1A"/>
    <w:rsid w:val="00622089"/>
    <w:rsid w:val="00623305"/>
    <w:rsid w:val="006236BC"/>
    <w:rsid w:val="00624E06"/>
    <w:rsid w:val="00624F52"/>
    <w:rsid w:val="006256D5"/>
    <w:rsid w:val="00625DEF"/>
    <w:rsid w:val="00626796"/>
    <w:rsid w:val="0062681E"/>
    <w:rsid w:val="00630A42"/>
    <w:rsid w:val="006310DA"/>
    <w:rsid w:val="00633442"/>
    <w:rsid w:val="00636608"/>
    <w:rsid w:val="00641130"/>
    <w:rsid w:val="00642A66"/>
    <w:rsid w:val="00645AE0"/>
    <w:rsid w:val="006469EB"/>
    <w:rsid w:val="006520EC"/>
    <w:rsid w:val="006571D6"/>
    <w:rsid w:val="00657598"/>
    <w:rsid w:val="00657A4B"/>
    <w:rsid w:val="00657F5E"/>
    <w:rsid w:val="00660B0D"/>
    <w:rsid w:val="00660FB5"/>
    <w:rsid w:val="0066153F"/>
    <w:rsid w:val="0066242E"/>
    <w:rsid w:val="0066295D"/>
    <w:rsid w:val="00665AFB"/>
    <w:rsid w:val="00667170"/>
    <w:rsid w:val="0067086E"/>
    <w:rsid w:val="0067238E"/>
    <w:rsid w:val="006743AF"/>
    <w:rsid w:val="00674D53"/>
    <w:rsid w:val="0067534A"/>
    <w:rsid w:val="00676444"/>
    <w:rsid w:val="00682500"/>
    <w:rsid w:val="00683BC8"/>
    <w:rsid w:val="00683C58"/>
    <w:rsid w:val="00686320"/>
    <w:rsid w:val="00690650"/>
    <w:rsid w:val="00692245"/>
    <w:rsid w:val="0069284D"/>
    <w:rsid w:val="0069388E"/>
    <w:rsid w:val="00693AA9"/>
    <w:rsid w:val="00693C4E"/>
    <w:rsid w:val="00694382"/>
    <w:rsid w:val="00695E0C"/>
    <w:rsid w:val="006A2400"/>
    <w:rsid w:val="006A360E"/>
    <w:rsid w:val="006A4920"/>
    <w:rsid w:val="006A5309"/>
    <w:rsid w:val="006A772B"/>
    <w:rsid w:val="006B0ABD"/>
    <w:rsid w:val="006B10B9"/>
    <w:rsid w:val="006B1DCC"/>
    <w:rsid w:val="006B2EE6"/>
    <w:rsid w:val="006B392D"/>
    <w:rsid w:val="006B3FB2"/>
    <w:rsid w:val="006B69D1"/>
    <w:rsid w:val="006C0CB3"/>
    <w:rsid w:val="006C2DA6"/>
    <w:rsid w:val="006C35BD"/>
    <w:rsid w:val="006C7826"/>
    <w:rsid w:val="006D34EF"/>
    <w:rsid w:val="006E055C"/>
    <w:rsid w:val="006E47F1"/>
    <w:rsid w:val="006E5153"/>
    <w:rsid w:val="006E5FEA"/>
    <w:rsid w:val="006E7F98"/>
    <w:rsid w:val="006F03F5"/>
    <w:rsid w:val="006F0B02"/>
    <w:rsid w:val="006F31FF"/>
    <w:rsid w:val="006F3CDB"/>
    <w:rsid w:val="006F4640"/>
    <w:rsid w:val="006F5003"/>
    <w:rsid w:val="0070021A"/>
    <w:rsid w:val="007007EB"/>
    <w:rsid w:val="00701941"/>
    <w:rsid w:val="007024D6"/>
    <w:rsid w:val="00703077"/>
    <w:rsid w:val="00703110"/>
    <w:rsid w:val="007057CC"/>
    <w:rsid w:val="0070723D"/>
    <w:rsid w:val="00707651"/>
    <w:rsid w:val="00710F78"/>
    <w:rsid w:val="007115EE"/>
    <w:rsid w:val="0071302A"/>
    <w:rsid w:val="00715050"/>
    <w:rsid w:val="00716213"/>
    <w:rsid w:val="007164DA"/>
    <w:rsid w:val="0072223C"/>
    <w:rsid w:val="00723781"/>
    <w:rsid w:val="00723C1C"/>
    <w:rsid w:val="00724D04"/>
    <w:rsid w:val="0072610C"/>
    <w:rsid w:val="00727976"/>
    <w:rsid w:val="007322D2"/>
    <w:rsid w:val="007337DA"/>
    <w:rsid w:val="00733F79"/>
    <w:rsid w:val="007342C6"/>
    <w:rsid w:val="0073465F"/>
    <w:rsid w:val="00734BF3"/>
    <w:rsid w:val="00735DF1"/>
    <w:rsid w:val="00737FDE"/>
    <w:rsid w:val="007400C1"/>
    <w:rsid w:val="007423F2"/>
    <w:rsid w:val="007429AD"/>
    <w:rsid w:val="007449A0"/>
    <w:rsid w:val="007458A4"/>
    <w:rsid w:val="007463FE"/>
    <w:rsid w:val="007476BF"/>
    <w:rsid w:val="00751712"/>
    <w:rsid w:val="00751CDA"/>
    <w:rsid w:val="00752119"/>
    <w:rsid w:val="007526C9"/>
    <w:rsid w:val="00752CDB"/>
    <w:rsid w:val="00753DD9"/>
    <w:rsid w:val="00756847"/>
    <w:rsid w:val="007603E9"/>
    <w:rsid w:val="00763098"/>
    <w:rsid w:val="00763F98"/>
    <w:rsid w:val="00765781"/>
    <w:rsid w:val="00771F3B"/>
    <w:rsid w:val="00772777"/>
    <w:rsid w:val="007754A6"/>
    <w:rsid w:val="007761D6"/>
    <w:rsid w:val="00776B55"/>
    <w:rsid w:val="00776BA4"/>
    <w:rsid w:val="00777288"/>
    <w:rsid w:val="00780CBE"/>
    <w:rsid w:val="007819F2"/>
    <w:rsid w:val="00781E2B"/>
    <w:rsid w:val="00784E5F"/>
    <w:rsid w:val="0078627A"/>
    <w:rsid w:val="00792F46"/>
    <w:rsid w:val="007936A8"/>
    <w:rsid w:val="00793EF9"/>
    <w:rsid w:val="007942C7"/>
    <w:rsid w:val="00795057"/>
    <w:rsid w:val="00796103"/>
    <w:rsid w:val="0079620C"/>
    <w:rsid w:val="00797919"/>
    <w:rsid w:val="007A2BE8"/>
    <w:rsid w:val="007B3321"/>
    <w:rsid w:val="007B67F7"/>
    <w:rsid w:val="007C3ADE"/>
    <w:rsid w:val="007C5DAA"/>
    <w:rsid w:val="007C685B"/>
    <w:rsid w:val="007C692F"/>
    <w:rsid w:val="007C6E94"/>
    <w:rsid w:val="007D16C3"/>
    <w:rsid w:val="007D337D"/>
    <w:rsid w:val="007D37B9"/>
    <w:rsid w:val="007D40C5"/>
    <w:rsid w:val="007D4D04"/>
    <w:rsid w:val="007D4D0A"/>
    <w:rsid w:val="007D5C60"/>
    <w:rsid w:val="007D66D1"/>
    <w:rsid w:val="007D6CC5"/>
    <w:rsid w:val="007E0348"/>
    <w:rsid w:val="007E0FED"/>
    <w:rsid w:val="007E1AF4"/>
    <w:rsid w:val="007E305B"/>
    <w:rsid w:val="007E3B03"/>
    <w:rsid w:val="007E3F55"/>
    <w:rsid w:val="007E430F"/>
    <w:rsid w:val="007E6967"/>
    <w:rsid w:val="007F0058"/>
    <w:rsid w:val="007F13A2"/>
    <w:rsid w:val="007F55C0"/>
    <w:rsid w:val="007F6E12"/>
    <w:rsid w:val="0080125A"/>
    <w:rsid w:val="00801B8F"/>
    <w:rsid w:val="00803F7A"/>
    <w:rsid w:val="0081056D"/>
    <w:rsid w:val="00811950"/>
    <w:rsid w:val="00812A68"/>
    <w:rsid w:val="00815B0D"/>
    <w:rsid w:val="00816693"/>
    <w:rsid w:val="0081725A"/>
    <w:rsid w:val="00817B22"/>
    <w:rsid w:val="00821E54"/>
    <w:rsid w:val="00826E7E"/>
    <w:rsid w:val="008301AF"/>
    <w:rsid w:val="00831038"/>
    <w:rsid w:val="00831709"/>
    <w:rsid w:val="00831980"/>
    <w:rsid w:val="00833A04"/>
    <w:rsid w:val="00833A4C"/>
    <w:rsid w:val="00834808"/>
    <w:rsid w:val="00834D9A"/>
    <w:rsid w:val="00834E50"/>
    <w:rsid w:val="00834F2C"/>
    <w:rsid w:val="008430C0"/>
    <w:rsid w:val="008433E6"/>
    <w:rsid w:val="00844421"/>
    <w:rsid w:val="00844520"/>
    <w:rsid w:val="00844553"/>
    <w:rsid w:val="00846CC8"/>
    <w:rsid w:val="00850031"/>
    <w:rsid w:val="00851179"/>
    <w:rsid w:val="008512B3"/>
    <w:rsid w:val="00851654"/>
    <w:rsid w:val="00852333"/>
    <w:rsid w:val="008555FE"/>
    <w:rsid w:val="00856802"/>
    <w:rsid w:val="00856DD4"/>
    <w:rsid w:val="008605DC"/>
    <w:rsid w:val="00860630"/>
    <w:rsid w:val="008607BA"/>
    <w:rsid w:val="00860E14"/>
    <w:rsid w:val="00862483"/>
    <w:rsid w:val="00862BFC"/>
    <w:rsid w:val="00865614"/>
    <w:rsid w:val="00867226"/>
    <w:rsid w:val="008675A3"/>
    <w:rsid w:val="00867B8D"/>
    <w:rsid w:val="008717CF"/>
    <w:rsid w:val="008727F6"/>
    <w:rsid w:val="00872E58"/>
    <w:rsid w:val="00872F4C"/>
    <w:rsid w:val="00872FC7"/>
    <w:rsid w:val="008737D4"/>
    <w:rsid w:val="008764AB"/>
    <w:rsid w:val="00876CFD"/>
    <w:rsid w:val="00876FD3"/>
    <w:rsid w:val="008809D3"/>
    <w:rsid w:val="008840EB"/>
    <w:rsid w:val="00884DCD"/>
    <w:rsid w:val="00885552"/>
    <w:rsid w:val="00885EC5"/>
    <w:rsid w:val="00886C5E"/>
    <w:rsid w:val="00890BFB"/>
    <w:rsid w:val="00892502"/>
    <w:rsid w:val="0089279E"/>
    <w:rsid w:val="0089433F"/>
    <w:rsid w:val="008946CE"/>
    <w:rsid w:val="008974F7"/>
    <w:rsid w:val="008976A3"/>
    <w:rsid w:val="008A6075"/>
    <w:rsid w:val="008A6299"/>
    <w:rsid w:val="008A69DA"/>
    <w:rsid w:val="008B17B2"/>
    <w:rsid w:val="008B2F08"/>
    <w:rsid w:val="008B4416"/>
    <w:rsid w:val="008B73ED"/>
    <w:rsid w:val="008C40E8"/>
    <w:rsid w:val="008C53C7"/>
    <w:rsid w:val="008C5453"/>
    <w:rsid w:val="008C6ED3"/>
    <w:rsid w:val="008C6F27"/>
    <w:rsid w:val="008D2A7F"/>
    <w:rsid w:val="008D5B83"/>
    <w:rsid w:val="008D7A1F"/>
    <w:rsid w:val="008E2359"/>
    <w:rsid w:val="008E2FA4"/>
    <w:rsid w:val="008E3C19"/>
    <w:rsid w:val="008E3F68"/>
    <w:rsid w:val="008E4937"/>
    <w:rsid w:val="008E5448"/>
    <w:rsid w:val="008E5ADB"/>
    <w:rsid w:val="008E5B23"/>
    <w:rsid w:val="008E6CF9"/>
    <w:rsid w:val="008E7B2A"/>
    <w:rsid w:val="008F44B6"/>
    <w:rsid w:val="008F456D"/>
    <w:rsid w:val="008F47C9"/>
    <w:rsid w:val="008F570A"/>
    <w:rsid w:val="008F6282"/>
    <w:rsid w:val="00902101"/>
    <w:rsid w:val="00902307"/>
    <w:rsid w:val="00905185"/>
    <w:rsid w:val="009054A2"/>
    <w:rsid w:val="00906177"/>
    <w:rsid w:val="009074B4"/>
    <w:rsid w:val="0091052C"/>
    <w:rsid w:val="00912DE7"/>
    <w:rsid w:val="0091448B"/>
    <w:rsid w:val="00914DF4"/>
    <w:rsid w:val="009200A4"/>
    <w:rsid w:val="0092056E"/>
    <w:rsid w:val="00922EDF"/>
    <w:rsid w:val="00923C5D"/>
    <w:rsid w:val="00927932"/>
    <w:rsid w:val="00927E9D"/>
    <w:rsid w:val="009309F3"/>
    <w:rsid w:val="009311C1"/>
    <w:rsid w:val="009318EF"/>
    <w:rsid w:val="0093218B"/>
    <w:rsid w:val="00932C59"/>
    <w:rsid w:val="00933BAE"/>
    <w:rsid w:val="0093487E"/>
    <w:rsid w:val="00935B52"/>
    <w:rsid w:val="00936D4E"/>
    <w:rsid w:val="00937E45"/>
    <w:rsid w:val="0094052F"/>
    <w:rsid w:val="00940D3C"/>
    <w:rsid w:val="00943BC3"/>
    <w:rsid w:val="00950B9D"/>
    <w:rsid w:val="0095197F"/>
    <w:rsid w:val="00953424"/>
    <w:rsid w:val="009565C4"/>
    <w:rsid w:val="00956720"/>
    <w:rsid w:val="00957406"/>
    <w:rsid w:val="009576A8"/>
    <w:rsid w:val="00960CC6"/>
    <w:rsid w:val="00962B49"/>
    <w:rsid w:val="00964016"/>
    <w:rsid w:val="0096432F"/>
    <w:rsid w:val="00966D29"/>
    <w:rsid w:val="009671A5"/>
    <w:rsid w:val="00974428"/>
    <w:rsid w:val="00974B3C"/>
    <w:rsid w:val="009760F3"/>
    <w:rsid w:val="00976DA4"/>
    <w:rsid w:val="00982156"/>
    <w:rsid w:val="00983FC2"/>
    <w:rsid w:val="00985042"/>
    <w:rsid w:val="009850A7"/>
    <w:rsid w:val="009871C5"/>
    <w:rsid w:val="0099119D"/>
    <w:rsid w:val="009917E3"/>
    <w:rsid w:val="0099399D"/>
    <w:rsid w:val="00995715"/>
    <w:rsid w:val="009A0D14"/>
    <w:rsid w:val="009A1A23"/>
    <w:rsid w:val="009A2D0D"/>
    <w:rsid w:val="009A32D9"/>
    <w:rsid w:val="009B367C"/>
    <w:rsid w:val="009B4E19"/>
    <w:rsid w:val="009B5375"/>
    <w:rsid w:val="009B76CA"/>
    <w:rsid w:val="009C33EE"/>
    <w:rsid w:val="009C3F04"/>
    <w:rsid w:val="009C5008"/>
    <w:rsid w:val="009D3000"/>
    <w:rsid w:val="009D338F"/>
    <w:rsid w:val="009D40C7"/>
    <w:rsid w:val="009D47B2"/>
    <w:rsid w:val="009D5AB9"/>
    <w:rsid w:val="009D5C4A"/>
    <w:rsid w:val="009D5D06"/>
    <w:rsid w:val="009E00BF"/>
    <w:rsid w:val="009E1232"/>
    <w:rsid w:val="009E12F6"/>
    <w:rsid w:val="009E2A6E"/>
    <w:rsid w:val="009E307A"/>
    <w:rsid w:val="009E3A06"/>
    <w:rsid w:val="009E5633"/>
    <w:rsid w:val="009E59A6"/>
    <w:rsid w:val="009E7418"/>
    <w:rsid w:val="009F0B4E"/>
    <w:rsid w:val="009F0EFB"/>
    <w:rsid w:val="009F3C9E"/>
    <w:rsid w:val="009F47A0"/>
    <w:rsid w:val="009F735E"/>
    <w:rsid w:val="009F73A6"/>
    <w:rsid w:val="00A0022C"/>
    <w:rsid w:val="00A00FAE"/>
    <w:rsid w:val="00A02354"/>
    <w:rsid w:val="00A05162"/>
    <w:rsid w:val="00A0545E"/>
    <w:rsid w:val="00A06C60"/>
    <w:rsid w:val="00A06DF0"/>
    <w:rsid w:val="00A10B4D"/>
    <w:rsid w:val="00A11281"/>
    <w:rsid w:val="00A1137B"/>
    <w:rsid w:val="00A11BD2"/>
    <w:rsid w:val="00A16554"/>
    <w:rsid w:val="00A1711A"/>
    <w:rsid w:val="00A2124E"/>
    <w:rsid w:val="00A215FF"/>
    <w:rsid w:val="00A2362F"/>
    <w:rsid w:val="00A24ACC"/>
    <w:rsid w:val="00A25023"/>
    <w:rsid w:val="00A259F6"/>
    <w:rsid w:val="00A26006"/>
    <w:rsid w:val="00A321A0"/>
    <w:rsid w:val="00A35CEF"/>
    <w:rsid w:val="00A4049E"/>
    <w:rsid w:val="00A40732"/>
    <w:rsid w:val="00A432EF"/>
    <w:rsid w:val="00A46A22"/>
    <w:rsid w:val="00A47B78"/>
    <w:rsid w:val="00A51E8B"/>
    <w:rsid w:val="00A520BF"/>
    <w:rsid w:val="00A5332B"/>
    <w:rsid w:val="00A538F1"/>
    <w:rsid w:val="00A5483D"/>
    <w:rsid w:val="00A7046A"/>
    <w:rsid w:val="00A71566"/>
    <w:rsid w:val="00A747B3"/>
    <w:rsid w:val="00A77A01"/>
    <w:rsid w:val="00A80F76"/>
    <w:rsid w:val="00A80FB2"/>
    <w:rsid w:val="00A812CB"/>
    <w:rsid w:val="00A8286E"/>
    <w:rsid w:val="00A82A53"/>
    <w:rsid w:val="00A83033"/>
    <w:rsid w:val="00A8545E"/>
    <w:rsid w:val="00A86913"/>
    <w:rsid w:val="00A87760"/>
    <w:rsid w:val="00A903D3"/>
    <w:rsid w:val="00A945F0"/>
    <w:rsid w:val="00A95491"/>
    <w:rsid w:val="00A96F46"/>
    <w:rsid w:val="00AA0DD5"/>
    <w:rsid w:val="00AA3575"/>
    <w:rsid w:val="00AA3FCB"/>
    <w:rsid w:val="00AA42AF"/>
    <w:rsid w:val="00AA44E6"/>
    <w:rsid w:val="00AA7674"/>
    <w:rsid w:val="00AA7C0B"/>
    <w:rsid w:val="00AB0030"/>
    <w:rsid w:val="00AB004F"/>
    <w:rsid w:val="00AB3CEE"/>
    <w:rsid w:val="00AB6FAA"/>
    <w:rsid w:val="00AC0389"/>
    <w:rsid w:val="00AC0D7E"/>
    <w:rsid w:val="00AC2B7F"/>
    <w:rsid w:val="00AC37E3"/>
    <w:rsid w:val="00AC3889"/>
    <w:rsid w:val="00AC3929"/>
    <w:rsid w:val="00AC608A"/>
    <w:rsid w:val="00AD09A1"/>
    <w:rsid w:val="00AD2347"/>
    <w:rsid w:val="00AD2A1F"/>
    <w:rsid w:val="00AD420E"/>
    <w:rsid w:val="00AE01C2"/>
    <w:rsid w:val="00AE08E3"/>
    <w:rsid w:val="00AE11C6"/>
    <w:rsid w:val="00AE3F9B"/>
    <w:rsid w:val="00AE58EA"/>
    <w:rsid w:val="00AE64A8"/>
    <w:rsid w:val="00AE714E"/>
    <w:rsid w:val="00AF152B"/>
    <w:rsid w:val="00AF1E77"/>
    <w:rsid w:val="00AF1F9D"/>
    <w:rsid w:val="00AF20D5"/>
    <w:rsid w:val="00AF24F3"/>
    <w:rsid w:val="00AF36B4"/>
    <w:rsid w:val="00AF528C"/>
    <w:rsid w:val="00AF68D2"/>
    <w:rsid w:val="00B01DFB"/>
    <w:rsid w:val="00B01F2C"/>
    <w:rsid w:val="00B06881"/>
    <w:rsid w:val="00B06F3C"/>
    <w:rsid w:val="00B07385"/>
    <w:rsid w:val="00B07B9C"/>
    <w:rsid w:val="00B102D2"/>
    <w:rsid w:val="00B108FA"/>
    <w:rsid w:val="00B1342A"/>
    <w:rsid w:val="00B167B9"/>
    <w:rsid w:val="00B201DF"/>
    <w:rsid w:val="00B212A1"/>
    <w:rsid w:val="00B2203C"/>
    <w:rsid w:val="00B22F4C"/>
    <w:rsid w:val="00B23192"/>
    <w:rsid w:val="00B2415A"/>
    <w:rsid w:val="00B24EF9"/>
    <w:rsid w:val="00B300EE"/>
    <w:rsid w:val="00B31A22"/>
    <w:rsid w:val="00B31E18"/>
    <w:rsid w:val="00B31E4D"/>
    <w:rsid w:val="00B33F8F"/>
    <w:rsid w:val="00B3677C"/>
    <w:rsid w:val="00B41A20"/>
    <w:rsid w:val="00B41B89"/>
    <w:rsid w:val="00B42332"/>
    <w:rsid w:val="00B45DBF"/>
    <w:rsid w:val="00B46ACC"/>
    <w:rsid w:val="00B4734E"/>
    <w:rsid w:val="00B50E5B"/>
    <w:rsid w:val="00B51936"/>
    <w:rsid w:val="00B51FE5"/>
    <w:rsid w:val="00B57348"/>
    <w:rsid w:val="00B57BE1"/>
    <w:rsid w:val="00B60C37"/>
    <w:rsid w:val="00B62B6E"/>
    <w:rsid w:val="00B6347F"/>
    <w:rsid w:val="00B64564"/>
    <w:rsid w:val="00B67257"/>
    <w:rsid w:val="00B70538"/>
    <w:rsid w:val="00B717F9"/>
    <w:rsid w:val="00B721A6"/>
    <w:rsid w:val="00B73E50"/>
    <w:rsid w:val="00B75DAA"/>
    <w:rsid w:val="00B77D9A"/>
    <w:rsid w:val="00B81341"/>
    <w:rsid w:val="00B837DA"/>
    <w:rsid w:val="00B84BD4"/>
    <w:rsid w:val="00B857A5"/>
    <w:rsid w:val="00B860EB"/>
    <w:rsid w:val="00B900B2"/>
    <w:rsid w:val="00B911A3"/>
    <w:rsid w:val="00B9271C"/>
    <w:rsid w:val="00B9662D"/>
    <w:rsid w:val="00B9731D"/>
    <w:rsid w:val="00BA2132"/>
    <w:rsid w:val="00BA5F90"/>
    <w:rsid w:val="00BA6AE8"/>
    <w:rsid w:val="00BB0580"/>
    <w:rsid w:val="00BB1A9A"/>
    <w:rsid w:val="00BB2301"/>
    <w:rsid w:val="00BB680E"/>
    <w:rsid w:val="00BB72B0"/>
    <w:rsid w:val="00BC0B8B"/>
    <w:rsid w:val="00BC4B9E"/>
    <w:rsid w:val="00BC7BA0"/>
    <w:rsid w:val="00BC7C01"/>
    <w:rsid w:val="00BD0BAC"/>
    <w:rsid w:val="00BD1FDB"/>
    <w:rsid w:val="00BD2BB5"/>
    <w:rsid w:val="00BD30C1"/>
    <w:rsid w:val="00BD412B"/>
    <w:rsid w:val="00BD4B06"/>
    <w:rsid w:val="00BD5E60"/>
    <w:rsid w:val="00BD698F"/>
    <w:rsid w:val="00BE3F65"/>
    <w:rsid w:val="00BE5DCE"/>
    <w:rsid w:val="00BE5DFC"/>
    <w:rsid w:val="00BF1BE3"/>
    <w:rsid w:val="00BF1F4A"/>
    <w:rsid w:val="00BF2818"/>
    <w:rsid w:val="00BF3358"/>
    <w:rsid w:val="00BF5563"/>
    <w:rsid w:val="00BF5981"/>
    <w:rsid w:val="00BF5FD5"/>
    <w:rsid w:val="00BF6542"/>
    <w:rsid w:val="00BF73FE"/>
    <w:rsid w:val="00C008CD"/>
    <w:rsid w:val="00C01372"/>
    <w:rsid w:val="00C01517"/>
    <w:rsid w:val="00C067D6"/>
    <w:rsid w:val="00C07A0D"/>
    <w:rsid w:val="00C10ABB"/>
    <w:rsid w:val="00C1143B"/>
    <w:rsid w:val="00C133F9"/>
    <w:rsid w:val="00C1545F"/>
    <w:rsid w:val="00C159BD"/>
    <w:rsid w:val="00C15F69"/>
    <w:rsid w:val="00C15FCC"/>
    <w:rsid w:val="00C17C03"/>
    <w:rsid w:val="00C202BB"/>
    <w:rsid w:val="00C20350"/>
    <w:rsid w:val="00C25E5E"/>
    <w:rsid w:val="00C27286"/>
    <w:rsid w:val="00C273B0"/>
    <w:rsid w:val="00C33D3F"/>
    <w:rsid w:val="00C3498F"/>
    <w:rsid w:val="00C363FB"/>
    <w:rsid w:val="00C3761A"/>
    <w:rsid w:val="00C400D2"/>
    <w:rsid w:val="00C44303"/>
    <w:rsid w:val="00C453D9"/>
    <w:rsid w:val="00C4674D"/>
    <w:rsid w:val="00C50CD6"/>
    <w:rsid w:val="00C5103A"/>
    <w:rsid w:val="00C5128F"/>
    <w:rsid w:val="00C524B7"/>
    <w:rsid w:val="00C5374C"/>
    <w:rsid w:val="00C53CAB"/>
    <w:rsid w:val="00C53DE5"/>
    <w:rsid w:val="00C551A7"/>
    <w:rsid w:val="00C55B0C"/>
    <w:rsid w:val="00C60063"/>
    <w:rsid w:val="00C60153"/>
    <w:rsid w:val="00C609F3"/>
    <w:rsid w:val="00C60EFF"/>
    <w:rsid w:val="00C642C5"/>
    <w:rsid w:val="00C6507D"/>
    <w:rsid w:val="00C67AB7"/>
    <w:rsid w:val="00C7310F"/>
    <w:rsid w:val="00C77489"/>
    <w:rsid w:val="00C80200"/>
    <w:rsid w:val="00C80726"/>
    <w:rsid w:val="00C807F2"/>
    <w:rsid w:val="00C81641"/>
    <w:rsid w:val="00C81CE6"/>
    <w:rsid w:val="00C82F47"/>
    <w:rsid w:val="00C849E9"/>
    <w:rsid w:val="00C91E07"/>
    <w:rsid w:val="00C92770"/>
    <w:rsid w:val="00C92FA5"/>
    <w:rsid w:val="00C935BB"/>
    <w:rsid w:val="00C94297"/>
    <w:rsid w:val="00C94433"/>
    <w:rsid w:val="00C9755D"/>
    <w:rsid w:val="00C97E8B"/>
    <w:rsid w:val="00CA1674"/>
    <w:rsid w:val="00CA2CDA"/>
    <w:rsid w:val="00CA3026"/>
    <w:rsid w:val="00CA60F7"/>
    <w:rsid w:val="00CA6618"/>
    <w:rsid w:val="00CA7765"/>
    <w:rsid w:val="00CB0649"/>
    <w:rsid w:val="00CB0B3C"/>
    <w:rsid w:val="00CB28A3"/>
    <w:rsid w:val="00CB2D44"/>
    <w:rsid w:val="00CB43CF"/>
    <w:rsid w:val="00CB4E65"/>
    <w:rsid w:val="00CB5321"/>
    <w:rsid w:val="00CB5731"/>
    <w:rsid w:val="00CB7635"/>
    <w:rsid w:val="00CC0BD7"/>
    <w:rsid w:val="00CC1DE0"/>
    <w:rsid w:val="00CC2B86"/>
    <w:rsid w:val="00CC38E7"/>
    <w:rsid w:val="00CC445F"/>
    <w:rsid w:val="00CC7FA4"/>
    <w:rsid w:val="00CD0F4D"/>
    <w:rsid w:val="00CD56D3"/>
    <w:rsid w:val="00CE0BDD"/>
    <w:rsid w:val="00CE132A"/>
    <w:rsid w:val="00CE1A2E"/>
    <w:rsid w:val="00CE2106"/>
    <w:rsid w:val="00CE2F03"/>
    <w:rsid w:val="00CE4B46"/>
    <w:rsid w:val="00CE560F"/>
    <w:rsid w:val="00CE6402"/>
    <w:rsid w:val="00CE6DA8"/>
    <w:rsid w:val="00CE7378"/>
    <w:rsid w:val="00CE7951"/>
    <w:rsid w:val="00CF1DCB"/>
    <w:rsid w:val="00CF287C"/>
    <w:rsid w:val="00CF2C1A"/>
    <w:rsid w:val="00CF3022"/>
    <w:rsid w:val="00CF347D"/>
    <w:rsid w:val="00CF3CCB"/>
    <w:rsid w:val="00CF49F6"/>
    <w:rsid w:val="00CF4E99"/>
    <w:rsid w:val="00CF62CC"/>
    <w:rsid w:val="00CF663E"/>
    <w:rsid w:val="00D0083F"/>
    <w:rsid w:val="00D00D2D"/>
    <w:rsid w:val="00D0107F"/>
    <w:rsid w:val="00D01D0A"/>
    <w:rsid w:val="00D02318"/>
    <w:rsid w:val="00D04E59"/>
    <w:rsid w:val="00D05230"/>
    <w:rsid w:val="00D05409"/>
    <w:rsid w:val="00D05896"/>
    <w:rsid w:val="00D06763"/>
    <w:rsid w:val="00D078FD"/>
    <w:rsid w:val="00D1499C"/>
    <w:rsid w:val="00D14FE9"/>
    <w:rsid w:val="00D212A0"/>
    <w:rsid w:val="00D232D9"/>
    <w:rsid w:val="00D23BA2"/>
    <w:rsid w:val="00D263B1"/>
    <w:rsid w:val="00D267A9"/>
    <w:rsid w:val="00D26DBD"/>
    <w:rsid w:val="00D27E2B"/>
    <w:rsid w:val="00D303B3"/>
    <w:rsid w:val="00D31396"/>
    <w:rsid w:val="00D32129"/>
    <w:rsid w:val="00D33EA3"/>
    <w:rsid w:val="00D343F6"/>
    <w:rsid w:val="00D34AE6"/>
    <w:rsid w:val="00D3582A"/>
    <w:rsid w:val="00D362F7"/>
    <w:rsid w:val="00D36F21"/>
    <w:rsid w:val="00D42E59"/>
    <w:rsid w:val="00D438AA"/>
    <w:rsid w:val="00D464BB"/>
    <w:rsid w:val="00D5049C"/>
    <w:rsid w:val="00D505D1"/>
    <w:rsid w:val="00D51480"/>
    <w:rsid w:val="00D51AAC"/>
    <w:rsid w:val="00D5465A"/>
    <w:rsid w:val="00D56238"/>
    <w:rsid w:val="00D57564"/>
    <w:rsid w:val="00D57BE4"/>
    <w:rsid w:val="00D57CEA"/>
    <w:rsid w:val="00D61878"/>
    <w:rsid w:val="00D63619"/>
    <w:rsid w:val="00D6398C"/>
    <w:rsid w:val="00D67C54"/>
    <w:rsid w:val="00D73B34"/>
    <w:rsid w:val="00D76DF9"/>
    <w:rsid w:val="00D77AF9"/>
    <w:rsid w:val="00D80F29"/>
    <w:rsid w:val="00D813A5"/>
    <w:rsid w:val="00D84067"/>
    <w:rsid w:val="00D8487F"/>
    <w:rsid w:val="00D863A8"/>
    <w:rsid w:val="00D868F8"/>
    <w:rsid w:val="00D879B8"/>
    <w:rsid w:val="00D87CFB"/>
    <w:rsid w:val="00D904F5"/>
    <w:rsid w:val="00D92EF1"/>
    <w:rsid w:val="00D92F39"/>
    <w:rsid w:val="00D947F4"/>
    <w:rsid w:val="00D96C27"/>
    <w:rsid w:val="00D974FE"/>
    <w:rsid w:val="00DA0556"/>
    <w:rsid w:val="00DA1BDD"/>
    <w:rsid w:val="00DA3B41"/>
    <w:rsid w:val="00DA6617"/>
    <w:rsid w:val="00DA69A6"/>
    <w:rsid w:val="00DA744D"/>
    <w:rsid w:val="00DB0754"/>
    <w:rsid w:val="00DB7495"/>
    <w:rsid w:val="00DC0E0A"/>
    <w:rsid w:val="00DC3D52"/>
    <w:rsid w:val="00DC57DE"/>
    <w:rsid w:val="00DC5A7B"/>
    <w:rsid w:val="00DC680B"/>
    <w:rsid w:val="00DC6F52"/>
    <w:rsid w:val="00DD22C9"/>
    <w:rsid w:val="00DD4473"/>
    <w:rsid w:val="00DD4BCB"/>
    <w:rsid w:val="00DD76F2"/>
    <w:rsid w:val="00DE161B"/>
    <w:rsid w:val="00DE1A54"/>
    <w:rsid w:val="00DE1DAA"/>
    <w:rsid w:val="00DE262F"/>
    <w:rsid w:val="00DE2790"/>
    <w:rsid w:val="00DE2FD2"/>
    <w:rsid w:val="00DE49CB"/>
    <w:rsid w:val="00DE625D"/>
    <w:rsid w:val="00DE65A6"/>
    <w:rsid w:val="00DE748D"/>
    <w:rsid w:val="00DF0C99"/>
    <w:rsid w:val="00DF1717"/>
    <w:rsid w:val="00DF187E"/>
    <w:rsid w:val="00DF2439"/>
    <w:rsid w:val="00DF3662"/>
    <w:rsid w:val="00E008D1"/>
    <w:rsid w:val="00E00E01"/>
    <w:rsid w:val="00E01993"/>
    <w:rsid w:val="00E02320"/>
    <w:rsid w:val="00E03C28"/>
    <w:rsid w:val="00E03F46"/>
    <w:rsid w:val="00E043C5"/>
    <w:rsid w:val="00E04C84"/>
    <w:rsid w:val="00E07EC7"/>
    <w:rsid w:val="00E10E36"/>
    <w:rsid w:val="00E12C3A"/>
    <w:rsid w:val="00E13D9B"/>
    <w:rsid w:val="00E14C00"/>
    <w:rsid w:val="00E175CF"/>
    <w:rsid w:val="00E21450"/>
    <w:rsid w:val="00E22C05"/>
    <w:rsid w:val="00E27C9D"/>
    <w:rsid w:val="00E314E0"/>
    <w:rsid w:val="00E3199B"/>
    <w:rsid w:val="00E3219F"/>
    <w:rsid w:val="00E321A3"/>
    <w:rsid w:val="00E35051"/>
    <w:rsid w:val="00E35D39"/>
    <w:rsid w:val="00E36804"/>
    <w:rsid w:val="00E4006F"/>
    <w:rsid w:val="00E40686"/>
    <w:rsid w:val="00E40B6D"/>
    <w:rsid w:val="00E41F67"/>
    <w:rsid w:val="00E42170"/>
    <w:rsid w:val="00E42CA4"/>
    <w:rsid w:val="00E43F97"/>
    <w:rsid w:val="00E4507E"/>
    <w:rsid w:val="00E45C99"/>
    <w:rsid w:val="00E509EF"/>
    <w:rsid w:val="00E50CF3"/>
    <w:rsid w:val="00E51C45"/>
    <w:rsid w:val="00E52CBA"/>
    <w:rsid w:val="00E53736"/>
    <w:rsid w:val="00E53D4F"/>
    <w:rsid w:val="00E56371"/>
    <w:rsid w:val="00E56E12"/>
    <w:rsid w:val="00E573FE"/>
    <w:rsid w:val="00E57EBD"/>
    <w:rsid w:val="00E61C4D"/>
    <w:rsid w:val="00E62835"/>
    <w:rsid w:val="00E63DFA"/>
    <w:rsid w:val="00E65C07"/>
    <w:rsid w:val="00E67DBF"/>
    <w:rsid w:val="00E71D0C"/>
    <w:rsid w:val="00E7236D"/>
    <w:rsid w:val="00E7485B"/>
    <w:rsid w:val="00E75070"/>
    <w:rsid w:val="00E75783"/>
    <w:rsid w:val="00E760AC"/>
    <w:rsid w:val="00E76484"/>
    <w:rsid w:val="00E77E7A"/>
    <w:rsid w:val="00E807B0"/>
    <w:rsid w:val="00E809CB"/>
    <w:rsid w:val="00E82595"/>
    <w:rsid w:val="00E826F3"/>
    <w:rsid w:val="00E83343"/>
    <w:rsid w:val="00E855ED"/>
    <w:rsid w:val="00E92B9C"/>
    <w:rsid w:val="00E93ABE"/>
    <w:rsid w:val="00E94879"/>
    <w:rsid w:val="00E95149"/>
    <w:rsid w:val="00E96C54"/>
    <w:rsid w:val="00E97449"/>
    <w:rsid w:val="00E9762A"/>
    <w:rsid w:val="00EA0F0D"/>
    <w:rsid w:val="00EA3C39"/>
    <w:rsid w:val="00EA720D"/>
    <w:rsid w:val="00EA79F1"/>
    <w:rsid w:val="00EB113D"/>
    <w:rsid w:val="00EB2355"/>
    <w:rsid w:val="00EB6CED"/>
    <w:rsid w:val="00EB70A3"/>
    <w:rsid w:val="00EB71BF"/>
    <w:rsid w:val="00EB7273"/>
    <w:rsid w:val="00EB7897"/>
    <w:rsid w:val="00EC0A4D"/>
    <w:rsid w:val="00EC14CE"/>
    <w:rsid w:val="00EC1BDF"/>
    <w:rsid w:val="00ED5C56"/>
    <w:rsid w:val="00ED6864"/>
    <w:rsid w:val="00ED6B89"/>
    <w:rsid w:val="00EE00E9"/>
    <w:rsid w:val="00EE0890"/>
    <w:rsid w:val="00EE1553"/>
    <w:rsid w:val="00EE3C38"/>
    <w:rsid w:val="00EE777B"/>
    <w:rsid w:val="00EF38C0"/>
    <w:rsid w:val="00EF4DF7"/>
    <w:rsid w:val="00EF5C8C"/>
    <w:rsid w:val="00F00277"/>
    <w:rsid w:val="00F01676"/>
    <w:rsid w:val="00F05F7F"/>
    <w:rsid w:val="00F10C0A"/>
    <w:rsid w:val="00F130AE"/>
    <w:rsid w:val="00F13404"/>
    <w:rsid w:val="00F14969"/>
    <w:rsid w:val="00F17DC2"/>
    <w:rsid w:val="00F2055D"/>
    <w:rsid w:val="00F210C1"/>
    <w:rsid w:val="00F22E23"/>
    <w:rsid w:val="00F239CE"/>
    <w:rsid w:val="00F239F6"/>
    <w:rsid w:val="00F24EBC"/>
    <w:rsid w:val="00F26CEB"/>
    <w:rsid w:val="00F26ECF"/>
    <w:rsid w:val="00F2758D"/>
    <w:rsid w:val="00F30A07"/>
    <w:rsid w:val="00F319F2"/>
    <w:rsid w:val="00F33C93"/>
    <w:rsid w:val="00F3465D"/>
    <w:rsid w:val="00F40CD0"/>
    <w:rsid w:val="00F4257F"/>
    <w:rsid w:val="00F43AAA"/>
    <w:rsid w:val="00F4548A"/>
    <w:rsid w:val="00F454F7"/>
    <w:rsid w:val="00F45FEF"/>
    <w:rsid w:val="00F47F7A"/>
    <w:rsid w:val="00F518B2"/>
    <w:rsid w:val="00F51B02"/>
    <w:rsid w:val="00F52B80"/>
    <w:rsid w:val="00F5345D"/>
    <w:rsid w:val="00F54D40"/>
    <w:rsid w:val="00F56286"/>
    <w:rsid w:val="00F568F5"/>
    <w:rsid w:val="00F5713B"/>
    <w:rsid w:val="00F57879"/>
    <w:rsid w:val="00F57A9B"/>
    <w:rsid w:val="00F65D30"/>
    <w:rsid w:val="00F67026"/>
    <w:rsid w:val="00F67363"/>
    <w:rsid w:val="00F731E3"/>
    <w:rsid w:val="00F74B52"/>
    <w:rsid w:val="00F757A3"/>
    <w:rsid w:val="00F767F9"/>
    <w:rsid w:val="00F771BA"/>
    <w:rsid w:val="00F81466"/>
    <w:rsid w:val="00F82A8C"/>
    <w:rsid w:val="00F85261"/>
    <w:rsid w:val="00F85994"/>
    <w:rsid w:val="00F8687A"/>
    <w:rsid w:val="00F873CE"/>
    <w:rsid w:val="00F87E82"/>
    <w:rsid w:val="00F9101B"/>
    <w:rsid w:val="00F93ED5"/>
    <w:rsid w:val="00F93FE0"/>
    <w:rsid w:val="00F9485E"/>
    <w:rsid w:val="00F9745C"/>
    <w:rsid w:val="00FA0A32"/>
    <w:rsid w:val="00FA1208"/>
    <w:rsid w:val="00FA3A8C"/>
    <w:rsid w:val="00FA4E40"/>
    <w:rsid w:val="00FA65FA"/>
    <w:rsid w:val="00FA76C1"/>
    <w:rsid w:val="00FB1CE6"/>
    <w:rsid w:val="00FB759B"/>
    <w:rsid w:val="00FB7FD4"/>
    <w:rsid w:val="00FC07A5"/>
    <w:rsid w:val="00FC0C22"/>
    <w:rsid w:val="00FC1AEA"/>
    <w:rsid w:val="00FC557E"/>
    <w:rsid w:val="00FC6157"/>
    <w:rsid w:val="00FD048D"/>
    <w:rsid w:val="00FD0734"/>
    <w:rsid w:val="00FD18AE"/>
    <w:rsid w:val="00FD204D"/>
    <w:rsid w:val="00FD2601"/>
    <w:rsid w:val="00FD28FD"/>
    <w:rsid w:val="00FD335F"/>
    <w:rsid w:val="00FD3F8D"/>
    <w:rsid w:val="00FD613C"/>
    <w:rsid w:val="00FD6C3D"/>
    <w:rsid w:val="00FE04B2"/>
    <w:rsid w:val="00FE191C"/>
    <w:rsid w:val="00FE39A4"/>
    <w:rsid w:val="00FF01C5"/>
    <w:rsid w:val="00FF0935"/>
    <w:rsid w:val="00FF0D85"/>
    <w:rsid w:val="00FF4DCC"/>
    <w:rsid w:val="00FF680A"/>
    <w:rsid w:val="035726C8"/>
    <w:rsid w:val="0360282D"/>
    <w:rsid w:val="03B07BCC"/>
    <w:rsid w:val="043D7E80"/>
    <w:rsid w:val="064936AD"/>
    <w:rsid w:val="06994CB7"/>
    <w:rsid w:val="06D00F63"/>
    <w:rsid w:val="09ED5417"/>
    <w:rsid w:val="0A5F696C"/>
    <w:rsid w:val="0B4D495D"/>
    <w:rsid w:val="0B723455"/>
    <w:rsid w:val="0C365E1F"/>
    <w:rsid w:val="0D1427B2"/>
    <w:rsid w:val="0D4373AB"/>
    <w:rsid w:val="0E312860"/>
    <w:rsid w:val="0F35AFAD"/>
    <w:rsid w:val="0F386B0B"/>
    <w:rsid w:val="108C7E7D"/>
    <w:rsid w:val="10A80E35"/>
    <w:rsid w:val="11BA585A"/>
    <w:rsid w:val="11CD4C36"/>
    <w:rsid w:val="12121349"/>
    <w:rsid w:val="12323733"/>
    <w:rsid w:val="12DF85A9"/>
    <w:rsid w:val="17716295"/>
    <w:rsid w:val="189D3AF3"/>
    <w:rsid w:val="191B377A"/>
    <w:rsid w:val="19804F94"/>
    <w:rsid w:val="1AAA36D5"/>
    <w:rsid w:val="1D882FF0"/>
    <w:rsid w:val="1ED75A47"/>
    <w:rsid w:val="208D430C"/>
    <w:rsid w:val="210E7FFC"/>
    <w:rsid w:val="225F0C0D"/>
    <w:rsid w:val="22F925A5"/>
    <w:rsid w:val="2346099D"/>
    <w:rsid w:val="247B2582"/>
    <w:rsid w:val="2494327D"/>
    <w:rsid w:val="24A76ACB"/>
    <w:rsid w:val="24BA0D8A"/>
    <w:rsid w:val="250F70B3"/>
    <w:rsid w:val="25C86A1D"/>
    <w:rsid w:val="26722BC7"/>
    <w:rsid w:val="27E20E12"/>
    <w:rsid w:val="27FB6C5F"/>
    <w:rsid w:val="282E15BD"/>
    <w:rsid w:val="294F0C7B"/>
    <w:rsid w:val="295230E4"/>
    <w:rsid w:val="2A636D38"/>
    <w:rsid w:val="2B7C17C4"/>
    <w:rsid w:val="2C0E1F2C"/>
    <w:rsid w:val="2D0B2426"/>
    <w:rsid w:val="2EFFA5C0"/>
    <w:rsid w:val="2F5E71AB"/>
    <w:rsid w:val="2FF7E615"/>
    <w:rsid w:val="30A36213"/>
    <w:rsid w:val="30F53675"/>
    <w:rsid w:val="313460E2"/>
    <w:rsid w:val="31C45B64"/>
    <w:rsid w:val="33BF1685"/>
    <w:rsid w:val="34035265"/>
    <w:rsid w:val="36AF2E11"/>
    <w:rsid w:val="37817526"/>
    <w:rsid w:val="37C56031"/>
    <w:rsid w:val="37E00842"/>
    <w:rsid w:val="3965048A"/>
    <w:rsid w:val="39F79F49"/>
    <w:rsid w:val="3A2374CB"/>
    <w:rsid w:val="3D124F04"/>
    <w:rsid w:val="3E3C4C5A"/>
    <w:rsid w:val="3EBD5837"/>
    <w:rsid w:val="3F970D92"/>
    <w:rsid w:val="3FBCD016"/>
    <w:rsid w:val="3FDB5143"/>
    <w:rsid w:val="3FE7EE73"/>
    <w:rsid w:val="410A27E7"/>
    <w:rsid w:val="4174295B"/>
    <w:rsid w:val="43C21402"/>
    <w:rsid w:val="45721263"/>
    <w:rsid w:val="460E798A"/>
    <w:rsid w:val="4BD73A7A"/>
    <w:rsid w:val="4E3B6E27"/>
    <w:rsid w:val="4E4F61A7"/>
    <w:rsid w:val="4EC82D7B"/>
    <w:rsid w:val="4F6E1364"/>
    <w:rsid w:val="523A33F2"/>
    <w:rsid w:val="53074EBE"/>
    <w:rsid w:val="53804F32"/>
    <w:rsid w:val="53DE4785"/>
    <w:rsid w:val="53E13744"/>
    <w:rsid w:val="55DDCBA4"/>
    <w:rsid w:val="55FEEC3C"/>
    <w:rsid w:val="58FC0C85"/>
    <w:rsid w:val="592469C4"/>
    <w:rsid w:val="592B43B2"/>
    <w:rsid w:val="59DB10FE"/>
    <w:rsid w:val="59FD5B3B"/>
    <w:rsid w:val="5A776371"/>
    <w:rsid w:val="5B3C0173"/>
    <w:rsid w:val="5B7FFB62"/>
    <w:rsid w:val="5BF4065D"/>
    <w:rsid w:val="5C4A748D"/>
    <w:rsid w:val="5C5F7644"/>
    <w:rsid w:val="5CF743D0"/>
    <w:rsid w:val="5CFB83C6"/>
    <w:rsid w:val="5CFDD5B2"/>
    <w:rsid w:val="5D73C285"/>
    <w:rsid w:val="5DCFF5DF"/>
    <w:rsid w:val="5E255EF0"/>
    <w:rsid w:val="5EFFAB2A"/>
    <w:rsid w:val="5F1FFAE8"/>
    <w:rsid w:val="5F3F0ACE"/>
    <w:rsid w:val="5F3FCD3F"/>
    <w:rsid w:val="623A0878"/>
    <w:rsid w:val="63C0123E"/>
    <w:rsid w:val="63F7026A"/>
    <w:rsid w:val="64F70119"/>
    <w:rsid w:val="65FF9846"/>
    <w:rsid w:val="67CFD90B"/>
    <w:rsid w:val="68095C41"/>
    <w:rsid w:val="69671A18"/>
    <w:rsid w:val="698B35EA"/>
    <w:rsid w:val="6AB0453E"/>
    <w:rsid w:val="6AD63854"/>
    <w:rsid w:val="6B7F3A35"/>
    <w:rsid w:val="6C5043EA"/>
    <w:rsid w:val="6C799E3D"/>
    <w:rsid w:val="6C8C6F53"/>
    <w:rsid w:val="6CB74318"/>
    <w:rsid w:val="6DD33664"/>
    <w:rsid w:val="6DDD51AC"/>
    <w:rsid w:val="6E6A00C8"/>
    <w:rsid w:val="6EA9547C"/>
    <w:rsid w:val="6F261E74"/>
    <w:rsid w:val="6FA8416C"/>
    <w:rsid w:val="6FDBD145"/>
    <w:rsid w:val="6FE70DE7"/>
    <w:rsid w:val="70122DFA"/>
    <w:rsid w:val="7169467C"/>
    <w:rsid w:val="71D62636"/>
    <w:rsid w:val="720E6D25"/>
    <w:rsid w:val="72FB20A0"/>
    <w:rsid w:val="73676EC9"/>
    <w:rsid w:val="741C659D"/>
    <w:rsid w:val="74650C03"/>
    <w:rsid w:val="756AB975"/>
    <w:rsid w:val="75DF1DC3"/>
    <w:rsid w:val="75F75846"/>
    <w:rsid w:val="75FDC544"/>
    <w:rsid w:val="767F74EA"/>
    <w:rsid w:val="7768B2DF"/>
    <w:rsid w:val="777C9A35"/>
    <w:rsid w:val="77AEF1DA"/>
    <w:rsid w:val="77CD999E"/>
    <w:rsid w:val="77F78F3A"/>
    <w:rsid w:val="77FF94AC"/>
    <w:rsid w:val="782A3F7B"/>
    <w:rsid w:val="79213128"/>
    <w:rsid w:val="7B1FDA20"/>
    <w:rsid w:val="7B3E6640"/>
    <w:rsid w:val="7B7B3BD0"/>
    <w:rsid w:val="7B7B5E3D"/>
    <w:rsid w:val="7B7FF13B"/>
    <w:rsid w:val="7BAE575D"/>
    <w:rsid w:val="7BC7D5DB"/>
    <w:rsid w:val="7BF6051A"/>
    <w:rsid w:val="7BF9CF41"/>
    <w:rsid w:val="7BFE6E71"/>
    <w:rsid w:val="7C9F4C78"/>
    <w:rsid w:val="7CF77629"/>
    <w:rsid w:val="7CFD448E"/>
    <w:rsid w:val="7D7EEE7A"/>
    <w:rsid w:val="7DFD76AE"/>
    <w:rsid w:val="7DFF76D9"/>
    <w:rsid w:val="7E2386AC"/>
    <w:rsid w:val="7E5D86FA"/>
    <w:rsid w:val="7E5F8A14"/>
    <w:rsid w:val="7E7F6F4C"/>
    <w:rsid w:val="7EFFD27D"/>
    <w:rsid w:val="7F692D6E"/>
    <w:rsid w:val="7F6B5584"/>
    <w:rsid w:val="7FAF040D"/>
    <w:rsid w:val="7FB5F729"/>
    <w:rsid w:val="7FDD688F"/>
    <w:rsid w:val="7FEEB72D"/>
    <w:rsid w:val="7FF11C02"/>
    <w:rsid w:val="7FF8ED6A"/>
    <w:rsid w:val="7FFF1EE1"/>
    <w:rsid w:val="7FFF3384"/>
    <w:rsid w:val="7FFFE627"/>
    <w:rsid w:val="815518DC"/>
    <w:rsid w:val="8FDFDE5D"/>
    <w:rsid w:val="97FFBAEF"/>
    <w:rsid w:val="9B6D63FE"/>
    <w:rsid w:val="9B7D5FCB"/>
    <w:rsid w:val="9D6170A3"/>
    <w:rsid w:val="9DEF0ED6"/>
    <w:rsid w:val="9FF7CEDF"/>
    <w:rsid w:val="A6E20DE5"/>
    <w:rsid w:val="AF3C97F9"/>
    <w:rsid w:val="AF7C2B3B"/>
    <w:rsid w:val="B7F6EEE5"/>
    <w:rsid w:val="BB3C913E"/>
    <w:rsid w:val="BDFF93D1"/>
    <w:rsid w:val="BEECCA8C"/>
    <w:rsid w:val="BFDF465C"/>
    <w:rsid w:val="CF6BD391"/>
    <w:rsid w:val="CFF9A351"/>
    <w:rsid w:val="D57FA33F"/>
    <w:rsid w:val="D7492C3D"/>
    <w:rsid w:val="D7FE9CA6"/>
    <w:rsid w:val="DB2E9A82"/>
    <w:rsid w:val="DBB432A7"/>
    <w:rsid w:val="DDD99005"/>
    <w:rsid w:val="DDFF674A"/>
    <w:rsid w:val="DEB62094"/>
    <w:rsid w:val="DFFFF552"/>
    <w:rsid w:val="E3FF695E"/>
    <w:rsid w:val="E5FD15BB"/>
    <w:rsid w:val="E9FFAF6A"/>
    <w:rsid w:val="EB6F812F"/>
    <w:rsid w:val="EBEE5927"/>
    <w:rsid w:val="EDFFB750"/>
    <w:rsid w:val="EF1F3360"/>
    <w:rsid w:val="EF5B14BD"/>
    <w:rsid w:val="EF6B5E9C"/>
    <w:rsid w:val="EF7E44A6"/>
    <w:rsid w:val="EFE60D78"/>
    <w:rsid w:val="EFFE63BF"/>
    <w:rsid w:val="EFFF2020"/>
    <w:rsid w:val="F1D75F35"/>
    <w:rsid w:val="F71770EF"/>
    <w:rsid w:val="F76C448E"/>
    <w:rsid w:val="F7CF806F"/>
    <w:rsid w:val="F7DFBEFE"/>
    <w:rsid w:val="F7F7AAAE"/>
    <w:rsid w:val="F7FFFBBC"/>
    <w:rsid w:val="FAF7C26A"/>
    <w:rsid w:val="FAFBA784"/>
    <w:rsid w:val="FAFFEB1B"/>
    <w:rsid w:val="FB6E1120"/>
    <w:rsid w:val="FBFF4813"/>
    <w:rsid w:val="FC787ECE"/>
    <w:rsid w:val="FD975105"/>
    <w:rsid w:val="FDBFEE2D"/>
    <w:rsid w:val="FDFFDEAE"/>
    <w:rsid w:val="FE6E04B9"/>
    <w:rsid w:val="FEBD7851"/>
    <w:rsid w:val="FEBD8D7B"/>
    <w:rsid w:val="FEF3580A"/>
    <w:rsid w:val="FEFC7211"/>
    <w:rsid w:val="FEFD72BE"/>
    <w:rsid w:val="FF43B7CE"/>
    <w:rsid w:val="FF7ED944"/>
    <w:rsid w:val="FF7F57A7"/>
    <w:rsid w:val="FFB71F19"/>
    <w:rsid w:val="FFB7AD83"/>
    <w:rsid w:val="FFBA5C62"/>
    <w:rsid w:val="FFCDC2C5"/>
    <w:rsid w:val="FFDB5DE7"/>
    <w:rsid w:val="FFDF79E4"/>
    <w:rsid w:val="FFE71692"/>
    <w:rsid w:val="FFFCF5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iPriority="99"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0" w:firstLineChars="200"/>
      <w:jc w:val="both"/>
    </w:pPr>
    <w:rPr>
      <w:rFonts w:ascii="Times New Roman" w:hAnsi="Times New Roman" w:eastAsia="仿宋_GB2312" w:cs="Times New Roman"/>
      <w:color w:val="000000"/>
      <w:kern w:val="2"/>
      <w:sz w:val="32"/>
      <w:szCs w:val="32"/>
      <w:lang w:val="en-US" w:eastAsia="zh-CN" w:bidi="ar-SA"/>
    </w:rPr>
  </w:style>
  <w:style w:type="paragraph" w:styleId="4">
    <w:name w:val="heading 1"/>
    <w:basedOn w:val="1"/>
    <w:next w:val="1"/>
    <w:link w:val="39"/>
    <w:qFormat/>
    <w:uiPriority w:val="0"/>
    <w:pPr>
      <w:keepNext/>
      <w:keepLines/>
      <w:spacing w:before="312" w:beforeLines="100" w:after="312" w:afterLines="100"/>
      <w:ind w:firstLine="643"/>
      <w:outlineLvl w:val="0"/>
    </w:pPr>
    <w:rPr>
      <w:rFonts w:eastAsia="黑体"/>
      <w:b/>
      <w:kern w:val="44"/>
    </w:rPr>
  </w:style>
  <w:style w:type="paragraph" w:styleId="5">
    <w:name w:val="heading 2"/>
    <w:basedOn w:val="1"/>
    <w:next w:val="1"/>
    <w:link w:val="44"/>
    <w:unhideWhenUsed/>
    <w:qFormat/>
    <w:uiPriority w:val="9"/>
    <w:pPr>
      <w:spacing w:before="312" w:beforeLines="100" w:after="312" w:afterLines="100"/>
      <w:ind w:firstLine="643"/>
      <w:jc w:val="left"/>
      <w:outlineLvl w:val="1"/>
    </w:pPr>
    <w:rPr>
      <w:rFonts w:eastAsia="楷体_GB2312"/>
      <w:b/>
      <w:bCs/>
      <w:kern w:val="28"/>
    </w:rPr>
  </w:style>
  <w:style w:type="paragraph" w:styleId="6">
    <w:name w:val="heading 3"/>
    <w:basedOn w:val="1"/>
    <w:next w:val="1"/>
    <w:link w:val="45"/>
    <w:unhideWhenUsed/>
    <w:qFormat/>
    <w:uiPriority w:val="9"/>
    <w:pPr>
      <w:spacing w:before="435" w:beforeLines="100" w:after="435" w:afterLines="100"/>
      <w:ind w:firstLine="643"/>
      <w:jc w:val="left"/>
      <w:outlineLvl w:val="2"/>
    </w:pPr>
    <w:rPr>
      <w:b/>
      <w:bCs/>
    </w:rPr>
  </w:style>
  <w:style w:type="paragraph" w:styleId="7">
    <w:name w:val="heading 4"/>
    <w:basedOn w:val="1"/>
    <w:next w:val="1"/>
    <w:link w:val="6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0"/>
    <w:qFormat/>
    <w:uiPriority w:val="1"/>
    <w:pPr>
      <w:autoSpaceDE w:val="0"/>
      <w:autoSpaceDN w:val="0"/>
      <w:spacing w:line="240" w:lineRule="auto"/>
      <w:ind w:firstLine="0" w:firstLineChars="0"/>
      <w:jc w:val="left"/>
    </w:pPr>
    <w:rPr>
      <w:rFonts w:ascii="宋体" w:hAnsi="宋体" w:eastAsia="宋体" w:cs="宋体"/>
      <w:color w:val="auto"/>
      <w:kern w:val="0"/>
      <w:sz w:val="18"/>
      <w:szCs w:val="18"/>
      <w:lang w:val="zh-CN" w:bidi="zh-CN"/>
    </w:rPr>
  </w:style>
  <w:style w:type="paragraph" w:styleId="3">
    <w:name w:val="Body Text 2"/>
    <w:basedOn w:val="1"/>
    <w:qFormat/>
    <w:uiPriority w:val="99"/>
    <w:pPr>
      <w:widowControl w:val="0"/>
      <w:spacing w:after="120" w:line="480" w:lineRule="auto"/>
      <w:jc w:val="both"/>
    </w:pPr>
    <w:rPr>
      <w:rFonts w:ascii="Times New Roman" w:hAnsi="Times New Roman" w:eastAsia="仿宋_GB2312" w:cs="Times New Roman"/>
      <w:sz w:val="32"/>
      <w:szCs w:val="24"/>
      <w:lang w:val="en-US" w:eastAsia="zh-CN" w:bidi="ar-SA"/>
    </w:rPr>
  </w:style>
  <w:style w:type="paragraph" w:styleId="8">
    <w:name w:val="toc 7"/>
    <w:basedOn w:val="1"/>
    <w:next w:val="1"/>
    <w:unhideWhenUsed/>
    <w:qFormat/>
    <w:uiPriority w:val="39"/>
    <w:pPr>
      <w:ind w:left="1920"/>
      <w:jc w:val="left"/>
    </w:pPr>
    <w:rPr>
      <w:rFonts w:asciiTheme="minorHAnsi" w:eastAsiaTheme="minorHAnsi"/>
      <w:sz w:val="18"/>
      <w:szCs w:val="18"/>
    </w:rPr>
  </w:style>
  <w:style w:type="paragraph" w:styleId="9">
    <w:name w:val="caption"/>
    <w:basedOn w:val="1"/>
    <w:next w:val="1"/>
    <w:unhideWhenUsed/>
    <w:qFormat/>
    <w:uiPriority w:val="35"/>
    <w:rPr>
      <w:rFonts w:eastAsia="黑体" w:asciiTheme="majorHAnsi" w:hAnsiTheme="majorHAnsi" w:cstheme="majorBidi"/>
      <w:sz w:val="20"/>
      <w:szCs w:val="20"/>
    </w:rPr>
  </w:style>
  <w:style w:type="paragraph" w:styleId="10">
    <w:name w:val="annotation text"/>
    <w:basedOn w:val="1"/>
    <w:link w:val="41"/>
    <w:unhideWhenUsed/>
    <w:qFormat/>
    <w:uiPriority w:val="99"/>
    <w:pPr>
      <w:jc w:val="left"/>
    </w:pPr>
  </w:style>
  <w:style w:type="paragraph" w:styleId="11">
    <w:name w:val="toc 5"/>
    <w:basedOn w:val="1"/>
    <w:next w:val="1"/>
    <w:unhideWhenUsed/>
    <w:qFormat/>
    <w:uiPriority w:val="39"/>
    <w:pPr>
      <w:ind w:left="1280"/>
      <w:jc w:val="left"/>
    </w:pPr>
    <w:rPr>
      <w:rFonts w:asciiTheme="minorHAnsi" w:eastAsiaTheme="minorHAnsi"/>
      <w:sz w:val="18"/>
      <w:szCs w:val="18"/>
    </w:rPr>
  </w:style>
  <w:style w:type="paragraph" w:styleId="12">
    <w:name w:val="toc 3"/>
    <w:basedOn w:val="1"/>
    <w:next w:val="1"/>
    <w:unhideWhenUsed/>
    <w:qFormat/>
    <w:uiPriority w:val="39"/>
    <w:pPr>
      <w:ind w:left="640"/>
      <w:jc w:val="left"/>
    </w:pPr>
    <w:rPr>
      <w:rFonts w:asciiTheme="minorHAnsi" w:eastAsiaTheme="minorHAnsi"/>
      <w:i/>
      <w:iCs/>
      <w:sz w:val="20"/>
      <w:szCs w:val="20"/>
    </w:rPr>
  </w:style>
  <w:style w:type="paragraph" w:styleId="13">
    <w:name w:val="toc 8"/>
    <w:basedOn w:val="1"/>
    <w:next w:val="1"/>
    <w:unhideWhenUsed/>
    <w:qFormat/>
    <w:uiPriority w:val="39"/>
    <w:pPr>
      <w:ind w:left="2240"/>
      <w:jc w:val="left"/>
    </w:pPr>
    <w:rPr>
      <w:rFonts w:asciiTheme="minorHAnsi" w:eastAsiaTheme="minorHAnsi"/>
      <w:sz w:val="18"/>
      <w:szCs w:val="18"/>
    </w:rPr>
  </w:style>
  <w:style w:type="paragraph" w:styleId="14">
    <w:name w:val="endnote text"/>
    <w:basedOn w:val="1"/>
    <w:link w:val="64"/>
    <w:unhideWhenUsed/>
    <w:qFormat/>
    <w:uiPriority w:val="99"/>
    <w:pPr>
      <w:snapToGrid w:val="0"/>
      <w:jc w:val="left"/>
    </w:pPr>
  </w:style>
  <w:style w:type="paragraph" w:styleId="15">
    <w:name w:val="Balloon Text"/>
    <w:basedOn w:val="1"/>
    <w:link w:val="43"/>
    <w:unhideWhenUsed/>
    <w:qFormat/>
    <w:uiPriority w:val="99"/>
    <w:rPr>
      <w:rFonts w:ascii="宋体"/>
      <w:sz w:val="18"/>
      <w:szCs w:val="18"/>
    </w:rPr>
  </w:style>
  <w:style w:type="paragraph" w:styleId="16">
    <w:name w:val="footer"/>
    <w:basedOn w:val="1"/>
    <w:link w:val="49"/>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4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19">
    <w:name w:val="toc 4"/>
    <w:basedOn w:val="1"/>
    <w:next w:val="1"/>
    <w:unhideWhenUsed/>
    <w:qFormat/>
    <w:uiPriority w:val="39"/>
    <w:pPr>
      <w:ind w:left="960"/>
      <w:jc w:val="left"/>
    </w:pPr>
    <w:rPr>
      <w:rFonts w:asciiTheme="minorHAnsi" w:eastAsiaTheme="minorHAnsi"/>
      <w:sz w:val="18"/>
      <w:szCs w:val="18"/>
    </w:rPr>
  </w:style>
  <w:style w:type="paragraph" w:styleId="20">
    <w:name w:val="Subtitle"/>
    <w:basedOn w:val="1"/>
    <w:next w:val="1"/>
    <w:qFormat/>
    <w:uiPriority w:val="0"/>
    <w:pPr>
      <w:spacing w:before="240" w:after="60" w:line="312" w:lineRule="auto"/>
      <w:jc w:val="center"/>
      <w:outlineLvl w:val="1"/>
    </w:pPr>
    <w:rPr>
      <w:rFonts w:ascii="Cambria" w:hAnsi="Cambria"/>
      <w:b/>
      <w:bCs/>
      <w:kern w:val="28"/>
    </w:rPr>
  </w:style>
  <w:style w:type="paragraph" w:styleId="21">
    <w:name w:val="footnote text"/>
    <w:basedOn w:val="1"/>
    <w:link w:val="65"/>
    <w:unhideWhenUsed/>
    <w:qFormat/>
    <w:uiPriority w:val="99"/>
    <w:pPr>
      <w:snapToGrid w:val="0"/>
      <w:jc w:val="left"/>
    </w:pPr>
    <w:rPr>
      <w:sz w:val="18"/>
      <w:szCs w:val="18"/>
    </w:rPr>
  </w:style>
  <w:style w:type="paragraph" w:styleId="22">
    <w:name w:val="toc 6"/>
    <w:basedOn w:val="1"/>
    <w:next w:val="1"/>
    <w:unhideWhenUsed/>
    <w:qFormat/>
    <w:uiPriority w:val="39"/>
    <w:pPr>
      <w:ind w:left="1600"/>
      <w:jc w:val="left"/>
    </w:pPr>
    <w:rPr>
      <w:rFonts w:asciiTheme="minorHAnsi" w:eastAsiaTheme="minorHAnsi"/>
      <w:sz w:val="18"/>
      <w:szCs w:val="18"/>
    </w:rPr>
  </w:style>
  <w:style w:type="paragraph" w:styleId="23">
    <w:name w:val="toc 2"/>
    <w:basedOn w:val="1"/>
    <w:next w:val="1"/>
    <w:unhideWhenUsed/>
    <w:qFormat/>
    <w:uiPriority w:val="39"/>
    <w:pPr>
      <w:ind w:left="320"/>
      <w:jc w:val="left"/>
    </w:pPr>
    <w:rPr>
      <w:rFonts w:asciiTheme="minorHAnsi" w:eastAsiaTheme="minorHAnsi"/>
      <w:smallCaps/>
      <w:sz w:val="20"/>
      <w:szCs w:val="20"/>
    </w:rPr>
  </w:style>
  <w:style w:type="paragraph" w:styleId="24">
    <w:name w:val="toc 9"/>
    <w:basedOn w:val="1"/>
    <w:next w:val="1"/>
    <w:unhideWhenUsed/>
    <w:qFormat/>
    <w:uiPriority w:val="39"/>
    <w:pPr>
      <w:ind w:left="2560"/>
      <w:jc w:val="left"/>
    </w:pPr>
    <w:rPr>
      <w:rFonts w:asciiTheme="minorHAnsi" w:eastAsiaTheme="minorHAnsi"/>
      <w:sz w:val="18"/>
      <w:szCs w:val="18"/>
    </w:rPr>
  </w:style>
  <w:style w:type="paragraph" w:styleId="25">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color w:val="auto"/>
      <w:kern w:val="0"/>
      <w:sz w:val="24"/>
      <w:szCs w:val="24"/>
    </w:rPr>
  </w:style>
  <w:style w:type="paragraph" w:styleId="26">
    <w:name w:val="Title"/>
    <w:basedOn w:val="1"/>
    <w:next w:val="1"/>
    <w:qFormat/>
    <w:uiPriority w:val="0"/>
    <w:pPr>
      <w:spacing w:before="240" w:after="60"/>
      <w:jc w:val="center"/>
      <w:outlineLvl w:val="0"/>
    </w:pPr>
    <w:rPr>
      <w:rFonts w:ascii="Cambria" w:hAnsi="Cambria"/>
      <w:b/>
      <w:bCs/>
    </w:rPr>
  </w:style>
  <w:style w:type="paragraph" w:styleId="27">
    <w:name w:val="annotation subject"/>
    <w:basedOn w:val="10"/>
    <w:next w:val="10"/>
    <w:link w:val="42"/>
    <w:unhideWhenUsed/>
    <w:qFormat/>
    <w:uiPriority w:val="99"/>
    <w:rPr>
      <w:b/>
      <w:bCs/>
    </w:rPr>
  </w:style>
  <w:style w:type="table" w:styleId="29">
    <w:name w:val="Table Grid"/>
    <w:basedOn w:val="28"/>
    <w:qFormat/>
    <w:uiPriority w:val="39"/>
    <w:rPr>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
      <w:bCs/>
    </w:rPr>
  </w:style>
  <w:style w:type="character" w:styleId="32">
    <w:name w:val="endnote reference"/>
    <w:basedOn w:val="30"/>
    <w:unhideWhenUsed/>
    <w:qFormat/>
    <w:uiPriority w:val="99"/>
    <w:rPr>
      <w:vertAlign w:val="superscript"/>
    </w:rPr>
  </w:style>
  <w:style w:type="character" w:styleId="33">
    <w:name w:val="page number"/>
    <w:basedOn w:val="30"/>
    <w:unhideWhenUsed/>
    <w:qFormat/>
    <w:uiPriority w:val="99"/>
  </w:style>
  <w:style w:type="character" w:styleId="34">
    <w:name w:val="Emphasis"/>
    <w:basedOn w:val="30"/>
    <w:qFormat/>
    <w:uiPriority w:val="20"/>
    <w:rPr>
      <w:i/>
      <w:iCs/>
    </w:rPr>
  </w:style>
  <w:style w:type="character" w:styleId="35">
    <w:name w:val="Hyperlink"/>
    <w:basedOn w:val="30"/>
    <w:unhideWhenUsed/>
    <w:qFormat/>
    <w:uiPriority w:val="99"/>
    <w:rPr>
      <w:color w:val="0000FF"/>
      <w:u w:val="single"/>
    </w:rPr>
  </w:style>
  <w:style w:type="character" w:styleId="36">
    <w:name w:val="annotation reference"/>
    <w:basedOn w:val="30"/>
    <w:unhideWhenUsed/>
    <w:qFormat/>
    <w:uiPriority w:val="99"/>
    <w:rPr>
      <w:sz w:val="21"/>
      <w:szCs w:val="21"/>
    </w:rPr>
  </w:style>
  <w:style w:type="character" w:styleId="37">
    <w:name w:val="footnote reference"/>
    <w:basedOn w:val="30"/>
    <w:unhideWhenUsed/>
    <w:qFormat/>
    <w:uiPriority w:val="99"/>
    <w:rPr>
      <w:vertAlign w:val="superscript"/>
    </w:rPr>
  </w:style>
  <w:style w:type="paragraph" w:customStyle="1" w:styleId="38">
    <w:name w:val="BodyText"/>
    <w:basedOn w:val="1"/>
    <w:qFormat/>
    <w:uiPriority w:val="0"/>
    <w:pPr>
      <w:spacing w:after="120" w:line="240" w:lineRule="auto"/>
    </w:pPr>
    <w:rPr>
      <w:rFonts w:eastAsia="Times New Roman"/>
      <w:kern w:val="0"/>
      <w:sz w:val="21"/>
      <w:szCs w:val="24"/>
    </w:rPr>
  </w:style>
  <w:style w:type="character" w:customStyle="1" w:styleId="39">
    <w:name w:val="标题 1 Char"/>
    <w:basedOn w:val="30"/>
    <w:link w:val="4"/>
    <w:qFormat/>
    <w:uiPriority w:val="0"/>
    <w:rPr>
      <w:rFonts w:ascii="Times New Roman" w:hAnsi="Times New Roman" w:eastAsia="黑体" w:cs="Times New Roman"/>
      <w:b/>
      <w:color w:val="000000"/>
      <w:kern w:val="44"/>
      <w:sz w:val="32"/>
      <w:szCs w:val="32"/>
    </w:rPr>
  </w:style>
  <w:style w:type="paragraph" w:customStyle="1" w:styleId="40">
    <w:name w:val="列表段落1"/>
    <w:basedOn w:val="1"/>
    <w:qFormat/>
    <w:uiPriority w:val="34"/>
    <w:pPr>
      <w:ind w:firstLine="420"/>
    </w:pPr>
  </w:style>
  <w:style w:type="character" w:customStyle="1" w:styleId="41">
    <w:name w:val="批注文字 Char"/>
    <w:basedOn w:val="30"/>
    <w:link w:val="10"/>
    <w:qFormat/>
    <w:uiPriority w:val="99"/>
    <w:rPr>
      <w:rFonts w:ascii="Times New Roman" w:hAnsi="Times New Roman" w:eastAsia="宋体" w:cs="Times New Roman"/>
    </w:rPr>
  </w:style>
  <w:style w:type="character" w:customStyle="1" w:styleId="42">
    <w:name w:val="批注主题 Char"/>
    <w:basedOn w:val="41"/>
    <w:link w:val="27"/>
    <w:semiHidden/>
    <w:qFormat/>
    <w:uiPriority w:val="99"/>
    <w:rPr>
      <w:rFonts w:ascii="Times New Roman" w:hAnsi="Times New Roman" w:eastAsia="宋体" w:cs="Times New Roman"/>
      <w:b/>
      <w:bCs/>
    </w:rPr>
  </w:style>
  <w:style w:type="character" w:customStyle="1" w:styleId="43">
    <w:name w:val="批注框文本 Char"/>
    <w:basedOn w:val="30"/>
    <w:link w:val="15"/>
    <w:semiHidden/>
    <w:qFormat/>
    <w:uiPriority w:val="99"/>
    <w:rPr>
      <w:rFonts w:ascii="宋体" w:hAnsi="Times New Roman" w:eastAsia="宋体" w:cs="Times New Roman"/>
      <w:sz w:val="18"/>
      <w:szCs w:val="18"/>
    </w:rPr>
  </w:style>
  <w:style w:type="character" w:customStyle="1" w:styleId="44">
    <w:name w:val="标题 2 Char"/>
    <w:basedOn w:val="30"/>
    <w:link w:val="5"/>
    <w:qFormat/>
    <w:uiPriority w:val="9"/>
    <w:rPr>
      <w:rFonts w:ascii="Times New Roman" w:hAnsi="Times New Roman" w:eastAsia="楷体_GB2312" w:cs="Times New Roman"/>
      <w:b/>
      <w:bCs/>
      <w:color w:val="000000"/>
      <w:kern w:val="28"/>
      <w:sz w:val="32"/>
      <w:szCs w:val="32"/>
    </w:rPr>
  </w:style>
  <w:style w:type="character" w:customStyle="1" w:styleId="45">
    <w:name w:val="标题 3 Char"/>
    <w:basedOn w:val="30"/>
    <w:link w:val="6"/>
    <w:qFormat/>
    <w:uiPriority w:val="9"/>
    <w:rPr>
      <w:rFonts w:ascii="Times New Roman" w:hAnsi="Times New Roman" w:eastAsia="仿宋_GB2312" w:cs="Times New Roman"/>
      <w:b/>
      <w:bCs/>
      <w:color w:val="000000"/>
      <w:kern w:val="2"/>
      <w:sz w:val="32"/>
      <w:szCs w:val="32"/>
    </w:rPr>
  </w:style>
  <w:style w:type="paragraph" w:customStyle="1" w:styleId="46">
    <w:name w:val="ql-align-justify"/>
    <w:basedOn w:val="1"/>
    <w:qFormat/>
    <w:uiPriority w:val="0"/>
    <w:pPr>
      <w:widowControl/>
      <w:spacing w:before="100" w:beforeAutospacing="1" w:after="100" w:afterAutospacing="1" w:line="240" w:lineRule="auto"/>
      <w:ind w:firstLine="0" w:firstLineChars="0"/>
      <w:jc w:val="left"/>
    </w:pPr>
    <w:rPr>
      <w:rFonts w:ascii="宋体" w:hAnsi="宋体" w:eastAsia="宋体" w:cs="宋体"/>
      <w:color w:val="auto"/>
      <w:kern w:val="0"/>
      <w:sz w:val="24"/>
      <w:szCs w:val="24"/>
    </w:rPr>
  </w:style>
  <w:style w:type="character" w:customStyle="1" w:styleId="47">
    <w:name w:val="wenda-abstract-listnum"/>
    <w:basedOn w:val="30"/>
    <w:qFormat/>
    <w:uiPriority w:val="0"/>
  </w:style>
  <w:style w:type="character" w:customStyle="1" w:styleId="48">
    <w:name w:val="页眉 Char"/>
    <w:basedOn w:val="30"/>
    <w:link w:val="17"/>
    <w:qFormat/>
    <w:uiPriority w:val="99"/>
    <w:rPr>
      <w:rFonts w:ascii="Times New Roman" w:hAnsi="Times New Roman" w:eastAsia="仿宋_GB2312" w:cs="Times New Roman"/>
      <w:color w:val="000000"/>
      <w:sz w:val="18"/>
      <w:szCs w:val="18"/>
    </w:rPr>
  </w:style>
  <w:style w:type="character" w:customStyle="1" w:styleId="49">
    <w:name w:val="页脚 Char"/>
    <w:basedOn w:val="30"/>
    <w:link w:val="16"/>
    <w:qFormat/>
    <w:uiPriority w:val="99"/>
    <w:rPr>
      <w:rFonts w:ascii="Times New Roman" w:hAnsi="Times New Roman" w:eastAsia="仿宋_GB2312" w:cs="Times New Roman"/>
      <w:color w:val="000000"/>
      <w:sz w:val="18"/>
      <w:szCs w:val="18"/>
    </w:rPr>
  </w:style>
  <w:style w:type="paragraph" w:customStyle="1" w:styleId="50">
    <w:name w:val="赛迪3"/>
    <w:basedOn w:val="1"/>
    <w:link w:val="51"/>
    <w:qFormat/>
    <w:uiPriority w:val="0"/>
    <w:pPr>
      <w:keepNext/>
      <w:keepLines/>
      <w:ind w:firstLine="643"/>
      <w:outlineLvl w:val="2"/>
    </w:pPr>
    <w:rPr>
      <w:rFonts w:ascii="仿宋_GB2312" w:hAnsiTheme="minorHAnsi" w:cstheme="minorBidi"/>
      <w:b/>
      <w:bCs/>
      <w:color w:val="auto"/>
    </w:rPr>
  </w:style>
  <w:style w:type="character" w:customStyle="1" w:styleId="51">
    <w:name w:val="赛迪3 字符"/>
    <w:basedOn w:val="30"/>
    <w:link w:val="50"/>
    <w:qFormat/>
    <w:uiPriority w:val="0"/>
    <w:rPr>
      <w:rFonts w:ascii="仿宋_GB2312" w:eastAsia="仿宋_GB2312"/>
      <w:b/>
      <w:bCs/>
      <w:sz w:val="32"/>
      <w:szCs w:val="32"/>
    </w:rPr>
  </w:style>
  <w:style w:type="paragraph" w:customStyle="1" w:styleId="52">
    <w:name w:val="赛迪正文"/>
    <w:basedOn w:val="1"/>
    <w:link w:val="53"/>
    <w:qFormat/>
    <w:uiPriority w:val="0"/>
    <w:rPr>
      <w:rFonts w:cstheme="minorBidi"/>
      <w:color w:val="auto"/>
    </w:rPr>
  </w:style>
  <w:style w:type="character" w:customStyle="1" w:styleId="53">
    <w:name w:val="赛迪正文 字符"/>
    <w:basedOn w:val="30"/>
    <w:link w:val="52"/>
    <w:qFormat/>
    <w:uiPriority w:val="0"/>
    <w:rPr>
      <w:rFonts w:ascii="Times New Roman" w:hAnsi="Times New Roman" w:eastAsia="仿宋_GB2312"/>
      <w:sz w:val="32"/>
      <w:szCs w:val="32"/>
    </w:rPr>
  </w:style>
  <w:style w:type="paragraph" w:customStyle="1" w:styleId="54">
    <w:name w:val="赛迪2"/>
    <w:basedOn w:val="1"/>
    <w:link w:val="55"/>
    <w:qFormat/>
    <w:uiPriority w:val="0"/>
    <w:pPr>
      <w:keepNext/>
      <w:keepLines/>
      <w:spacing w:before="120" w:after="120"/>
      <w:ind w:firstLine="643"/>
      <w:outlineLvl w:val="1"/>
    </w:pPr>
    <w:rPr>
      <w:rFonts w:ascii="楷体_GB2312" w:hAnsi="Arial" w:eastAsia="楷体_GB2312" w:cstheme="minorBidi"/>
      <w:b/>
      <w:bCs/>
      <w:color w:val="auto"/>
    </w:rPr>
  </w:style>
  <w:style w:type="character" w:customStyle="1" w:styleId="55">
    <w:name w:val="赛迪2 字符"/>
    <w:basedOn w:val="30"/>
    <w:link w:val="54"/>
    <w:qFormat/>
    <w:uiPriority w:val="0"/>
    <w:rPr>
      <w:rFonts w:ascii="楷体_GB2312" w:hAnsi="Arial" w:eastAsia="楷体_GB2312"/>
      <w:b/>
      <w:bCs/>
      <w:sz w:val="32"/>
      <w:szCs w:val="32"/>
    </w:rPr>
  </w:style>
  <w:style w:type="paragraph" w:customStyle="1" w:styleId="56">
    <w:name w:val="赛迪1"/>
    <w:basedOn w:val="1"/>
    <w:link w:val="57"/>
    <w:qFormat/>
    <w:uiPriority w:val="0"/>
    <w:pPr>
      <w:keepNext/>
      <w:keepLines/>
      <w:spacing w:before="120" w:after="120"/>
      <w:ind w:firstLine="0" w:firstLineChars="0"/>
      <w:outlineLvl w:val="0"/>
    </w:pPr>
    <w:rPr>
      <w:rFonts w:ascii="黑体" w:eastAsia="黑体" w:hAnsiTheme="minorHAnsi" w:cstheme="minorBidi"/>
      <w:b/>
      <w:bCs/>
      <w:color w:val="auto"/>
      <w:kern w:val="44"/>
    </w:rPr>
  </w:style>
  <w:style w:type="character" w:customStyle="1" w:styleId="57">
    <w:name w:val="赛迪1 字符"/>
    <w:basedOn w:val="30"/>
    <w:link w:val="56"/>
    <w:qFormat/>
    <w:uiPriority w:val="0"/>
    <w:rPr>
      <w:rFonts w:ascii="黑体" w:eastAsia="黑体"/>
      <w:b/>
      <w:bCs/>
      <w:kern w:val="44"/>
      <w:sz w:val="32"/>
      <w:szCs w:val="32"/>
    </w:rPr>
  </w:style>
  <w:style w:type="paragraph" w:customStyle="1" w:styleId="58">
    <w:name w:val="TOC 标题1"/>
    <w:basedOn w:val="4"/>
    <w:next w:val="1"/>
    <w:unhideWhenUsed/>
    <w:qFormat/>
    <w:uiPriority w:val="39"/>
    <w:pPr>
      <w:widowControl/>
      <w:spacing w:before="480" w:line="276" w:lineRule="auto"/>
      <w:ind w:firstLine="0" w:firstLineChars="0"/>
      <w:jc w:val="left"/>
      <w:outlineLvl w:val="9"/>
    </w:pPr>
    <w:rPr>
      <w:rFonts w:asciiTheme="majorHAnsi" w:hAnsiTheme="majorHAnsi" w:eastAsiaTheme="majorEastAsia" w:cstheme="majorBidi"/>
      <w:b w:val="0"/>
      <w:color w:val="2F5597" w:themeColor="accent1" w:themeShade="BF"/>
      <w:kern w:val="0"/>
      <w:sz w:val="28"/>
      <w:szCs w:val="28"/>
    </w:rPr>
  </w:style>
  <w:style w:type="paragraph" w:customStyle="1" w:styleId="59">
    <w:name w:val="修订1"/>
    <w:hidden/>
    <w:semiHidden/>
    <w:qFormat/>
    <w:uiPriority w:val="99"/>
    <w:rPr>
      <w:rFonts w:ascii="Times New Roman" w:hAnsi="Times New Roman" w:eastAsia="仿宋_GB2312" w:cs="Times New Roman"/>
      <w:color w:val="000000"/>
      <w:kern w:val="2"/>
      <w:sz w:val="32"/>
      <w:szCs w:val="32"/>
      <w:lang w:val="en-US" w:eastAsia="zh-CN" w:bidi="ar-SA"/>
    </w:rPr>
  </w:style>
  <w:style w:type="character" w:customStyle="1" w:styleId="60">
    <w:name w:val="正文文本 Char"/>
    <w:basedOn w:val="30"/>
    <w:link w:val="2"/>
    <w:qFormat/>
    <w:uiPriority w:val="1"/>
    <w:rPr>
      <w:rFonts w:ascii="宋体" w:hAnsi="宋体" w:eastAsia="宋体" w:cs="宋体"/>
      <w:kern w:val="0"/>
      <w:sz w:val="18"/>
      <w:szCs w:val="18"/>
      <w:lang w:val="zh-CN" w:bidi="zh-CN"/>
    </w:rPr>
  </w:style>
  <w:style w:type="table" w:customStyle="1" w:styleId="61">
    <w:name w:val="Table Normal1"/>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62">
    <w:name w:val="Table Paragraph"/>
    <w:basedOn w:val="1"/>
    <w:qFormat/>
    <w:uiPriority w:val="1"/>
    <w:pPr>
      <w:autoSpaceDE w:val="0"/>
      <w:autoSpaceDN w:val="0"/>
      <w:spacing w:line="240" w:lineRule="auto"/>
      <w:ind w:firstLine="0" w:firstLineChars="0"/>
      <w:jc w:val="center"/>
    </w:pPr>
    <w:rPr>
      <w:rFonts w:ascii="Arial" w:hAnsi="Arial" w:eastAsia="Arial" w:cs="Arial"/>
      <w:color w:val="auto"/>
      <w:kern w:val="0"/>
      <w:sz w:val="22"/>
      <w:szCs w:val="22"/>
      <w:lang w:val="zh-CN" w:bidi="zh-CN"/>
    </w:rPr>
  </w:style>
  <w:style w:type="character" w:customStyle="1" w:styleId="63">
    <w:name w:val="标题 4 Char"/>
    <w:basedOn w:val="30"/>
    <w:link w:val="7"/>
    <w:qFormat/>
    <w:uiPriority w:val="9"/>
    <w:rPr>
      <w:rFonts w:asciiTheme="majorHAnsi" w:hAnsiTheme="majorHAnsi" w:eastAsiaTheme="majorEastAsia" w:cstheme="majorBidi"/>
      <w:b/>
      <w:bCs/>
      <w:color w:val="000000"/>
      <w:sz w:val="28"/>
      <w:szCs w:val="28"/>
    </w:rPr>
  </w:style>
  <w:style w:type="character" w:customStyle="1" w:styleId="64">
    <w:name w:val="尾注文本 Char"/>
    <w:basedOn w:val="30"/>
    <w:link w:val="14"/>
    <w:semiHidden/>
    <w:qFormat/>
    <w:uiPriority w:val="99"/>
    <w:rPr>
      <w:rFonts w:ascii="Times New Roman" w:hAnsi="Times New Roman" w:eastAsia="仿宋_GB2312" w:cs="Times New Roman"/>
      <w:color w:val="000000"/>
      <w:sz w:val="32"/>
      <w:szCs w:val="32"/>
    </w:rPr>
  </w:style>
  <w:style w:type="character" w:customStyle="1" w:styleId="65">
    <w:name w:val="脚注文本 Char"/>
    <w:basedOn w:val="30"/>
    <w:link w:val="21"/>
    <w:semiHidden/>
    <w:qFormat/>
    <w:uiPriority w:val="99"/>
    <w:rPr>
      <w:rFonts w:ascii="Times New Roman" w:hAnsi="Times New Roman" w:eastAsia="仿宋_GB2312" w:cs="Times New Roman"/>
      <w:color w:val="000000"/>
      <w:sz w:val="18"/>
      <w:szCs w:val="18"/>
    </w:rPr>
  </w:style>
  <w:style w:type="paragraph" w:customStyle="1" w:styleId="66">
    <w:name w:val="所标正文"/>
    <w:basedOn w:val="1"/>
    <w:qFormat/>
    <w:uiPriority w:val="0"/>
    <w:rPr>
      <w:rFonts w:ascii="仿宋_GB2312" w:hAnsi="Calibri"/>
      <w:color w:val="auto"/>
      <w:szCs w:val="28"/>
    </w:rPr>
  </w:style>
  <w:style w:type="paragraph" w:customStyle="1" w:styleId="67">
    <w:name w:val="p0"/>
    <w:basedOn w:val="1"/>
    <w:qFormat/>
    <w:uiPriority w:val="0"/>
    <w:pPr>
      <w:widowControl/>
      <w:ind w:firstLine="0" w:firstLineChars="0"/>
    </w:pPr>
    <w:rPr>
      <w:rFonts w:ascii="Calibri" w:hAnsi="Calibri" w:eastAsia="宋体"/>
      <w:kern w:val="0"/>
      <w:sz w:val="21"/>
      <w:szCs w:val="21"/>
    </w:rPr>
  </w:style>
  <w:style w:type="paragraph" w:customStyle="1" w:styleId="68">
    <w:name w:val="TOC 标题2"/>
    <w:basedOn w:val="4"/>
    <w:next w:val="1"/>
    <w:unhideWhenUsed/>
    <w:qFormat/>
    <w:uiPriority w:val="39"/>
    <w:pPr>
      <w:widowControl/>
      <w:spacing w:before="480" w:beforeLines="0" w:after="0" w:afterLines="0" w:line="276" w:lineRule="auto"/>
      <w:ind w:firstLine="0" w:firstLineChars="0"/>
      <w:jc w:val="left"/>
      <w:outlineLvl w:val="9"/>
    </w:pPr>
    <w:rPr>
      <w:rFonts w:asciiTheme="majorHAnsi" w:hAnsiTheme="majorHAnsi" w:eastAsiaTheme="majorEastAsia" w:cstheme="majorBidi"/>
      <w:bCs/>
      <w:color w:val="2F5597" w:themeColor="accent1" w:themeShade="BF"/>
      <w:kern w:val="0"/>
      <w:sz w:val="28"/>
      <w:szCs w:val="28"/>
    </w:rPr>
  </w:style>
  <w:style w:type="paragraph" w:customStyle="1" w:styleId="69">
    <w:name w:val="_Style 3"/>
    <w:basedOn w:val="4"/>
    <w:next w:val="1"/>
    <w:qFormat/>
    <w:uiPriority w:val="39"/>
    <w:pPr>
      <w:widowControl/>
      <w:spacing w:before="240" w:after="0" w:line="259" w:lineRule="auto"/>
      <w:jc w:val="left"/>
      <w:outlineLvl w:val="9"/>
    </w:pPr>
    <w:rPr>
      <w:rFonts w:ascii="等线 Light" w:hAnsi="等线 Light" w:eastAsia="等线 Light"/>
      <w:b w:val="0"/>
      <w:color w:val="2E74B5"/>
      <w:kern w:val="0"/>
    </w:rPr>
  </w:style>
  <w:style w:type="paragraph" w:customStyle="1" w:styleId="70">
    <w:name w:val="_Style 5"/>
    <w:basedOn w:val="4"/>
    <w:next w:val="1"/>
    <w:qFormat/>
    <w:uiPriority w:val="39"/>
    <w:pPr>
      <w:widowControl/>
      <w:spacing w:before="240" w:after="0" w:line="259" w:lineRule="auto"/>
      <w:jc w:val="left"/>
      <w:outlineLvl w:val="9"/>
    </w:pPr>
    <w:rPr>
      <w:rFonts w:ascii="等线 Light" w:hAnsi="等线 Light" w:eastAsia="等线 Light"/>
      <w:b w:val="0"/>
      <w:color w:val="2E74B5"/>
      <w:kern w:val="0"/>
    </w:rPr>
  </w:style>
  <w:style w:type="paragraph" w:customStyle="1" w:styleId="71">
    <w:name w:val="WPSOffice手动目录 1"/>
    <w:qFormat/>
    <w:uiPriority w:val="0"/>
    <w:rPr>
      <w:rFonts w:ascii="Calibri" w:hAnsi="Calibri" w:eastAsia="宋体" w:cs="Times New Roman"/>
      <w:lang w:val="en-US" w:eastAsia="zh-CN" w:bidi="ar-SA"/>
    </w:rPr>
  </w:style>
  <w:style w:type="paragraph" w:customStyle="1" w:styleId="72">
    <w:name w:val="WPSOffice手动目录 2"/>
    <w:qFormat/>
    <w:uiPriority w:val="0"/>
    <w:pPr>
      <w:ind w:left="200" w:leftChars="200"/>
    </w:pPr>
    <w:rPr>
      <w:rFonts w:ascii="Calibri" w:hAnsi="Calibri" w:eastAsia="宋体" w:cs="Times New Roman"/>
      <w:lang w:val="en-US" w:eastAsia="zh-CN" w:bidi="ar-SA"/>
    </w:rPr>
  </w:style>
  <w:style w:type="paragraph" w:customStyle="1" w:styleId="73">
    <w:name w:val="WPSOffice手动目录 3"/>
    <w:qFormat/>
    <w:uiPriority w:val="0"/>
    <w:pPr>
      <w:ind w:left="400" w:leftChars="400"/>
    </w:pPr>
    <w:rPr>
      <w:rFonts w:ascii="Calibri" w:hAnsi="Calibri" w:eastAsia="宋体" w:cs="Times New Roman"/>
      <w:lang w:val="en-US" w:eastAsia="zh-CN" w:bidi="ar-SA"/>
    </w:rPr>
  </w:style>
  <w:style w:type="character" w:customStyle="1" w:styleId="74">
    <w:name w:val="font11"/>
    <w:basedOn w:val="30"/>
    <w:qFormat/>
    <w:uiPriority w:val="0"/>
    <w:rPr>
      <w:rFonts w:ascii="仿宋_GB2312" w:eastAsia="仿宋_GB2312" w:cs="仿宋_GB2312"/>
      <w:color w:val="000000"/>
      <w:sz w:val="24"/>
      <w:szCs w:val="24"/>
      <w:u w:val="none"/>
    </w:rPr>
  </w:style>
  <w:style w:type="character" w:customStyle="1" w:styleId="75">
    <w:name w:val="font21"/>
    <w:basedOn w:val="30"/>
    <w:qFormat/>
    <w:uiPriority w:val="0"/>
    <w:rPr>
      <w:rFonts w:hint="default" w:ascii="Times New Roman" w:hAnsi="Times New Roman" w:cs="Times New Roman"/>
      <w:color w:val="000000"/>
      <w:sz w:val="24"/>
      <w:szCs w:val="24"/>
      <w:u w:val="none"/>
    </w:rPr>
  </w:style>
  <w:style w:type="paragraph" w:customStyle="1" w:styleId="76">
    <w:name w:val="Char Char5"/>
    <w:basedOn w:val="1"/>
    <w:qFormat/>
    <w:uiPriority w:val="0"/>
    <w:pPr>
      <w:widowControl/>
      <w:spacing w:after="160" w:line="240" w:lineRule="exact"/>
      <w:ind w:firstLine="0" w:firstLineChars="0"/>
      <w:jc w:val="left"/>
    </w:pPr>
    <w:rPr>
      <w:rFonts w:ascii="Verdana" w:hAnsi="Verdana"/>
      <w:color w:val="auto"/>
      <w:kern w:val="0"/>
      <w:sz w:val="20"/>
      <w:szCs w:val="20"/>
      <w:lang w:eastAsia="en-US"/>
    </w:rPr>
  </w:style>
  <w:style w:type="paragraph" w:customStyle="1" w:styleId="77">
    <w:name w:val="修订2"/>
    <w:hidden/>
    <w:semiHidden/>
    <w:qFormat/>
    <w:uiPriority w:val="99"/>
    <w:rPr>
      <w:rFonts w:ascii="Times New Roman" w:hAnsi="Times New Roman" w:eastAsia="仿宋_GB2312" w:cs="Times New Roman"/>
      <w:color w:val="000000"/>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2.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79</Pages>
  <Words>40362</Words>
  <Characters>42461</Characters>
  <Lines>397</Lines>
  <Paragraphs>111</Paragraphs>
  <TotalTime>9</TotalTime>
  <ScaleCrop>false</ScaleCrop>
  <LinksUpToDate>false</LinksUpToDate>
  <CharactersWithSpaces>43135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2021-11-30T22:39:00Z</dcterms:created>
  <dc:creator>ziheng zheng</dc:creator>
  <cp:lastModifiedBy>kylin</cp:lastModifiedBy>
  <cp:lastPrinted>2021-12-11T07:44:00Z</cp:lastPrinted>
  <dcterms:modified xsi:type="dcterms:W3CDTF">2021-12-22T11:25:02Z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1295B14B18464A3789C4471B5B0418D0</vt:lpwstr>
  </property>
</Properties>
</file>